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22E3D" w14:textId="77777777" w:rsidR="00894347" w:rsidRDefault="00EE74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BA03BBE" wp14:editId="7D20D3EB">
            <wp:simplePos x="0" y="0"/>
            <wp:positionH relativeFrom="column">
              <wp:posOffset>2289810</wp:posOffset>
            </wp:positionH>
            <wp:positionV relativeFrom="paragraph">
              <wp:posOffset>73025</wp:posOffset>
            </wp:positionV>
            <wp:extent cx="710565" cy="716280"/>
            <wp:effectExtent l="0" t="0" r="0" b="0"/>
            <wp:wrapNone/>
            <wp:docPr id="103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0565" cy="716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3D4A311" w14:textId="77777777" w:rsidR="00894347" w:rsidRDefault="00EE746B">
      <w:pPr>
        <w:pBdr>
          <w:top w:val="nil"/>
          <w:left w:val="nil"/>
          <w:bottom w:val="nil"/>
          <w:right w:val="nil"/>
          <w:between w:val="nil"/>
        </w:pBdr>
        <w:tabs>
          <w:tab w:val="left" w:pos="2246"/>
          <w:tab w:val="left" w:pos="7088"/>
        </w:tabs>
        <w:spacing w:line="240" w:lineRule="auto"/>
        <w:ind w:left="0" w:hanging="2"/>
        <w:rPr>
          <w:color w:val="000000"/>
        </w:rPr>
      </w:pPr>
      <w:r>
        <w:rPr>
          <w:noProof/>
          <w:color w:val="000000"/>
        </w:rPr>
        <w:drawing>
          <wp:inline distT="0" distB="0" distL="114300" distR="114300" wp14:anchorId="6F6ECDC9" wp14:editId="08D99C1F">
            <wp:extent cx="1703070" cy="634365"/>
            <wp:effectExtent l="0" t="0" r="0" b="0"/>
            <wp:docPr id="102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3070" cy="634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ab/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1F470DBB" wp14:editId="03E688D1">
            <wp:simplePos x="0" y="0"/>
            <wp:positionH relativeFrom="column">
              <wp:posOffset>3729990</wp:posOffset>
            </wp:positionH>
            <wp:positionV relativeFrom="paragraph">
              <wp:posOffset>92710</wp:posOffset>
            </wp:positionV>
            <wp:extent cx="2575560" cy="567690"/>
            <wp:effectExtent l="0" t="0" r="0" b="0"/>
            <wp:wrapNone/>
            <wp:docPr id="102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5560" cy="567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F8092E5" w14:textId="77777777" w:rsidR="00894347" w:rsidRDefault="00EE746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</w:t>
      </w:r>
    </w:p>
    <w:p w14:paraId="02906597" w14:textId="77777777" w:rsidR="00894347" w:rsidRDefault="00894347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spacing w:line="240" w:lineRule="auto"/>
        <w:ind w:left="0" w:hanging="2"/>
        <w:rPr>
          <w:color w:val="000000"/>
        </w:rPr>
      </w:pPr>
    </w:p>
    <w:p w14:paraId="7895F1D9" w14:textId="77777777" w:rsidR="00894347" w:rsidRDefault="00894347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spacing w:line="240" w:lineRule="auto"/>
        <w:ind w:left="0" w:hanging="2"/>
        <w:rPr>
          <w:color w:val="000000"/>
        </w:rPr>
      </w:pPr>
    </w:p>
    <w:p w14:paraId="2B6C012E" w14:textId="77777777" w:rsidR="00894347" w:rsidRDefault="00EE746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spacing w:line="240" w:lineRule="auto"/>
        <w:ind w:left="0" w:hanging="2"/>
        <w:jc w:val="right"/>
        <w:rPr>
          <w:color w:val="000000"/>
          <w:sz w:val="20"/>
          <w:szCs w:val="20"/>
        </w:rPr>
      </w:pPr>
      <w:r>
        <w:rPr>
          <w:b/>
          <w:i/>
          <w:color w:val="000000"/>
        </w:rPr>
        <w:t>Allegato A4 Servizio Civile Universale</w:t>
      </w:r>
    </w:p>
    <w:p w14:paraId="6976091E" w14:textId="77777777" w:rsidR="00894347" w:rsidRDefault="00EE746B">
      <w:pPr>
        <w:pBdr>
          <w:top w:val="nil"/>
          <w:left w:val="nil"/>
          <w:bottom w:val="nil"/>
          <w:right w:val="nil"/>
          <w:between w:val="nil"/>
        </w:pBdr>
        <w:tabs>
          <w:tab w:val="left" w:pos="316"/>
        </w:tabs>
        <w:spacing w:line="240" w:lineRule="auto"/>
        <w:ind w:left="0" w:hanging="2"/>
        <w:rPr>
          <w:color w:val="000000"/>
        </w:rPr>
      </w:pP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</w:p>
    <w:p w14:paraId="7048A1B5" w14:textId="77777777" w:rsidR="00894347" w:rsidRDefault="00EE74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SCHEDA ELEMENTI ESSENZIALI DEL PROGETTO ASSOCIATO AL PROGRAMMA DI INTERVENTO </w:t>
      </w:r>
    </w:p>
    <w:p w14:paraId="2D70867B" w14:textId="77777777" w:rsidR="00894347" w:rsidRDefault="008943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14:paraId="50E3DB8C" w14:textId="77777777" w:rsidR="00894347" w:rsidRDefault="00EE74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TITOLO DEL PROGETTO:</w:t>
      </w:r>
    </w:p>
    <w:p w14:paraId="506A72E8" w14:textId="77777777" w:rsidR="00894347" w:rsidRDefault="00EE74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DaFF</w:t>
      </w:r>
      <w:proofErr w:type="spellEnd"/>
      <w:r>
        <w:rPr>
          <w:color w:val="000000"/>
          <w:sz w:val="20"/>
          <w:szCs w:val="20"/>
        </w:rPr>
        <w:t xml:space="preserve"> Da ferite a feritoie. Strategie di coping e resilienza - 2022</w:t>
      </w:r>
    </w:p>
    <w:p w14:paraId="1EC72173" w14:textId="77777777" w:rsidR="00894347" w:rsidRDefault="008943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585AF338" w14:textId="77777777" w:rsidR="00894347" w:rsidRDefault="008943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34319F42" w14:textId="77777777" w:rsidR="00894347" w:rsidRDefault="00EE746B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SETTORE: </w:t>
      </w:r>
      <w:r>
        <w:rPr>
          <w:color w:val="000000"/>
          <w:sz w:val="20"/>
          <w:szCs w:val="20"/>
        </w:rPr>
        <w:t>Assistenza</w:t>
      </w:r>
    </w:p>
    <w:p w14:paraId="6EB780BD" w14:textId="77777777" w:rsidR="00894347" w:rsidRDefault="00EE746B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AREA DI INTERVENTO: </w:t>
      </w:r>
      <w:r>
        <w:rPr>
          <w:color w:val="000000"/>
          <w:sz w:val="20"/>
          <w:szCs w:val="20"/>
        </w:rPr>
        <w:t>Minori e giovani in condizioni di disagio o di esclusione sociale.</w:t>
      </w:r>
    </w:p>
    <w:p w14:paraId="10D2C3BB" w14:textId="77777777" w:rsidR="00894347" w:rsidRDefault="008943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00AB9429" w14:textId="77777777" w:rsidR="00894347" w:rsidRDefault="00EE74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DURATA DEL PROGETTO:</w:t>
      </w:r>
    </w:p>
    <w:p w14:paraId="515F9759" w14:textId="77777777" w:rsidR="00894347" w:rsidRDefault="00EE74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12 mesi</w:t>
      </w:r>
    </w:p>
    <w:p w14:paraId="5B3E22D9" w14:textId="77777777" w:rsidR="00894347" w:rsidRDefault="008943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79CBCB40" w14:textId="77777777" w:rsidR="00894347" w:rsidRDefault="00EE74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OBIETTIVO DEL PROGETTO:</w:t>
      </w:r>
    </w:p>
    <w:p w14:paraId="1A415016" w14:textId="77777777" w:rsidR="00894347" w:rsidRDefault="00EE74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Garantire ai minori più vulnerabili di completare l'istruzione primaria e secondaria, promuovendo rilevanti ed efficaci risultati di apprendimento</w:t>
      </w:r>
      <w:r>
        <w:rPr>
          <w:color w:val="000000"/>
        </w:rPr>
        <w:t>.</w:t>
      </w:r>
    </w:p>
    <w:p w14:paraId="56AA1CF4" w14:textId="77777777" w:rsidR="00894347" w:rsidRDefault="008943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5725A8FC" w14:textId="77777777" w:rsidR="00894347" w:rsidRDefault="00EE746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TITOLO DEL PROGRAMMA DI INTERVENTO CUI FA CAPO IL PROGETTO:</w:t>
      </w:r>
    </w:p>
    <w:p w14:paraId="5AD0BE69" w14:textId="77777777" w:rsidR="00894347" w:rsidRDefault="00EE746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Nobody</w:t>
      </w:r>
      <w:proofErr w:type="spellEnd"/>
      <w:r>
        <w:rPr>
          <w:color w:val="000000"/>
          <w:sz w:val="20"/>
          <w:szCs w:val="20"/>
        </w:rPr>
        <w:t xml:space="preserve"> Left </w:t>
      </w:r>
      <w:proofErr w:type="spellStart"/>
      <w:r>
        <w:rPr>
          <w:color w:val="000000"/>
          <w:sz w:val="20"/>
          <w:szCs w:val="20"/>
        </w:rPr>
        <w:t>Behind</w:t>
      </w:r>
      <w:proofErr w:type="spellEnd"/>
      <w:r>
        <w:rPr>
          <w:color w:val="000000"/>
          <w:sz w:val="20"/>
          <w:szCs w:val="20"/>
        </w:rPr>
        <w:t xml:space="preserve"> 2022</w:t>
      </w:r>
    </w:p>
    <w:p w14:paraId="1525AD72" w14:textId="77777777" w:rsidR="00894347" w:rsidRDefault="008943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tbl>
      <w:tblPr>
        <w:tblStyle w:val="a"/>
        <w:tblW w:w="9591" w:type="dxa"/>
        <w:tblInd w:w="-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1"/>
      </w:tblGrid>
      <w:tr w:rsidR="00894347" w14:paraId="02EF26C5" w14:textId="77777777">
        <w:trPr>
          <w:trHeight w:val="496"/>
        </w:trPr>
        <w:tc>
          <w:tcPr>
            <w:tcW w:w="9591" w:type="dxa"/>
          </w:tcPr>
          <w:p w14:paraId="617BA616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OBIETTIVO/I AGENDA 2030 DELLE NAZIONI UNITE </w:t>
            </w:r>
          </w:p>
          <w:p w14:paraId="5F9F7242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Garantire un'istruzione di qualità inclusiva ed equa e promuovere opportunità di apprendimento permanente per tutti</w:t>
            </w:r>
          </w:p>
        </w:tc>
      </w:tr>
    </w:tbl>
    <w:p w14:paraId="2BAF1069" w14:textId="77777777" w:rsidR="00894347" w:rsidRDefault="008943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76155280" w14:textId="77777777" w:rsidR="00894347" w:rsidRDefault="00EE74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AMBITO DI AZIONE DEL PROGRAMMA:</w:t>
      </w:r>
    </w:p>
    <w:p w14:paraId="2B0AFED9" w14:textId="77777777" w:rsidR="00894347" w:rsidRDefault="00EE74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Promozione di contesti educativi e relazionali più sensibili e flessibili rispetto alle difficoltà degli studenti meno fortunati, per garantire equità nell’offerta</w:t>
      </w:r>
    </w:p>
    <w:p w14:paraId="5FDF9888" w14:textId="77777777" w:rsidR="00894347" w:rsidRDefault="008943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1FEB811C" w14:textId="77777777" w:rsidR="00894347" w:rsidRDefault="00EE74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RUOLO ED ATTIVITÁ DEGLI OPERATORI VOLONTARI:</w:t>
      </w:r>
    </w:p>
    <w:p w14:paraId="28C4D1A3" w14:textId="77777777" w:rsidR="00894347" w:rsidRDefault="008943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21AB121D" w14:textId="77777777" w:rsidR="00894347" w:rsidRDefault="00EE74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Nella tabella che segue sono riportate le div</w:t>
      </w:r>
      <w:r>
        <w:rPr>
          <w:color w:val="000000"/>
          <w:sz w:val="20"/>
          <w:szCs w:val="20"/>
        </w:rPr>
        <w:t>erse tipologie di contesti operativi “standard”, con indicati i relativi processi operativi nei quali i volontari saranno coinvolti, differenziandoli per il tipo di servizio e di utenza.</w:t>
      </w:r>
    </w:p>
    <w:p w14:paraId="3AE2A958" w14:textId="77777777" w:rsidR="00894347" w:rsidRDefault="00EE74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Ogni attività descritta di seguito sarà tuttavia declinata da ogni si</w:t>
      </w:r>
      <w:r>
        <w:rPr>
          <w:color w:val="000000"/>
          <w:sz w:val="20"/>
          <w:szCs w:val="20"/>
        </w:rPr>
        <w:t xml:space="preserve">ngolo ente sede di attuazione del progetto, in base alla specificità della domanda sociale locale. Ogni volontario/a avrà l’opportunità di partecipare ad attività e scelte metodologiche specifiche e proprie della sede in cui svolge il servizio. </w:t>
      </w:r>
    </w:p>
    <w:p w14:paraId="24876166" w14:textId="77777777" w:rsidR="00894347" w:rsidRDefault="00EE74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Per conosc</w:t>
      </w:r>
      <w:r>
        <w:rPr>
          <w:color w:val="000000"/>
          <w:sz w:val="20"/>
          <w:szCs w:val="20"/>
        </w:rPr>
        <w:t xml:space="preserve">ere le specifiche attività e i contesti di servizio nei quali si sarà concretamente impegnati, suggeriamo contattare i referenti locali della sede di attuazione di progetto scelta. I recapiti sono disponibili sul sito </w:t>
      </w:r>
      <w:hyperlink r:id="rId9">
        <w:r>
          <w:rPr>
            <w:color w:val="0000FF"/>
            <w:sz w:val="20"/>
            <w:szCs w:val="20"/>
            <w:u w:val="single"/>
          </w:rPr>
          <w:t>ww</w:t>
        </w:r>
        <w:r>
          <w:rPr>
            <w:color w:val="0000FF"/>
            <w:sz w:val="20"/>
            <w:szCs w:val="20"/>
            <w:u w:val="single"/>
          </w:rPr>
          <w:t>w.cnca.it</w:t>
        </w:r>
      </w:hyperlink>
      <w:r>
        <w:rPr>
          <w:color w:val="000000"/>
          <w:sz w:val="20"/>
          <w:szCs w:val="20"/>
        </w:rPr>
        <w:t xml:space="preserve"> nella pagina informativa relativa al bando di selezione.</w:t>
      </w:r>
    </w:p>
    <w:p w14:paraId="78B04404" w14:textId="77777777" w:rsidR="00894347" w:rsidRDefault="008943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tbl>
      <w:tblPr>
        <w:tblStyle w:val="a0"/>
        <w:tblW w:w="956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127"/>
        <w:gridCol w:w="5178"/>
      </w:tblGrid>
      <w:tr w:rsidR="00894347" w14:paraId="40DB9A2C" w14:textId="77777777">
        <w:trPr>
          <w:trHeight w:val="255"/>
        </w:trPr>
        <w:tc>
          <w:tcPr>
            <w:tcW w:w="2263" w:type="dxa"/>
          </w:tcPr>
          <w:p w14:paraId="1D2E55FA" w14:textId="77777777" w:rsidR="00894347" w:rsidRDefault="00E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TIPO DI SERVIZIO</w:t>
            </w:r>
          </w:p>
        </w:tc>
        <w:tc>
          <w:tcPr>
            <w:tcW w:w="2127" w:type="dxa"/>
          </w:tcPr>
          <w:p w14:paraId="15A50980" w14:textId="77777777" w:rsidR="00894347" w:rsidRDefault="00E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UTENZA</w:t>
            </w:r>
          </w:p>
        </w:tc>
        <w:tc>
          <w:tcPr>
            <w:tcW w:w="5178" w:type="dxa"/>
          </w:tcPr>
          <w:p w14:paraId="776A3762" w14:textId="77777777" w:rsidR="00894347" w:rsidRDefault="00E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ATTIVITA’ SPECIFICA DEI VOLONTARI</w:t>
            </w:r>
          </w:p>
        </w:tc>
      </w:tr>
      <w:tr w:rsidR="00894347" w14:paraId="49F52F2A" w14:textId="77777777">
        <w:trPr>
          <w:trHeight w:val="255"/>
        </w:trPr>
        <w:tc>
          <w:tcPr>
            <w:tcW w:w="2263" w:type="dxa"/>
          </w:tcPr>
          <w:p w14:paraId="43B64F4B" w14:textId="77777777" w:rsidR="00894347" w:rsidRDefault="00E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Comunità educative residenziali con pronta accoglienza, per nuclei fragili in emergenza abitativa, altre situazioni in semi autonomia </w:t>
            </w:r>
          </w:p>
        </w:tc>
        <w:tc>
          <w:tcPr>
            <w:tcW w:w="2127" w:type="dxa"/>
          </w:tcPr>
          <w:p w14:paraId="440CCAC2" w14:textId="77777777" w:rsidR="00894347" w:rsidRDefault="00E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Ragazze adolescenti dagli 11 ai 18 anni allontanate da famiglia di origine per disagio psico sociale </w:t>
            </w:r>
          </w:p>
        </w:tc>
        <w:tc>
          <w:tcPr>
            <w:tcW w:w="5178" w:type="dxa"/>
          </w:tcPr>
          <w:p w14:paraId="39CB5E80" w14:textId="77777777" w:rsidR="00894347" w:rsidRDefault="00E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Supporto all'equipe della comunità educativa: gestione quotidiana delle ragazze accolte nel loro tempo libero, percorso formativo, supporto allo studio, laboratori. Partecipazione a equipe educative e a momenti formativi. </w:t>
            </w:r>
          </w:p>
        </w:tc>
      </w:tr>
      <w:tr w:rsidR="00894347" w14:paraId="0E6D65DD" w14:textId="77777777">
        <w:trPr>
          <w:trHeight w:val="255"/>
        </w:trPr>
        <w:tc>
          <w:tcPr>
            <w:tcW w:w="2263" w:type="dxa"/>
          </w:tcPr>
          <w:p w14:paraId="5E1F2FDA" w14:textId="77777777" w:rsidR="00894347" w:rsidRDefault="00E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Strutture residenziali per minor</w:t>
            </w:r>
            <w:r>
              <w:rPr>
                <w:b/>
                <w:color w:val="000000"/>
                <w:sz w:val="20"/>
                <w:szCs w:val="20"/>
              </w:rPr>
              <w:t xml:space="preserve">i </w:t>
            </w:r>
          </w:p>
        </w:tc>
        <w:tc>
          <w:tcPr>
            <w:tcW w:w="2127" w:type="dxa"/>
          </w:tcPr>
          <w:p w14:paraId="6D7BB6FA" w14:textId="77777777" w:rsidR="00894347" w:rsidRDefault="00E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Minori di 11-18 anni, vittime di abusi e maltrattamenti sottratti alle famiglie di origine.</w:t>
            </w:r>
          </w:p>
        </w:tc>
        <w:tc>
          <w:tcPr>
            <w:tcW w:w="5178" w:type="dxa"/>
          </w:tcPr>
          <w:p w14:paraId="3E278D88" w14:textId="77777777" w:rsidR="00894347" w:rsidRDefault="00E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 volontari opereranno per ampliare e rafforzare la rete di relazioni sociali dei minori accolti e stimolare il confronto con figure di riferimento positive. Vit</w:t>
            </w:r>
            <w:r>
              <w:rPr>
                <w:color w:val="000000"/>
                <w:sz w:val="20"/>
                <w:szCs w:val="20"/>
              </w:rPr>
              <w:t xml:space="preserve">a di Comunità (gestione della quotidianità); attività di supporto compiti; supporto ad attività </w:t>
            </w:r>
            <w:r>
              <w:rPr>
                <w:color w:val="000000"/>
                <w:sz w:val="20"/>
                <w:szCs w:val="20"/>
              </w:rPr>
              <w:lastRenderedPageBreak/>
              <w:t>extrascolastiche; attività di rete con i servizi territoriali; attività laboratoriali per il benessere dei minori accolti; attività di supporto compiti; support</w:t>
            </w:r>
            <w:r>
              <w:rPr>
                <w:color w:val="000000"/>
                <w:sz w:val="20"/>
                <w:szCs w:val="20"/>
              </w:rPr>
              <w:t>o ad attività extrascolastiche; attività di assistenza sociale e di rete con i servizi territoriali; attività laboratoriali per il benessere dei minori accolti; colloqui educativi per la progettazione e verifica dei PEI; attività di formazione e supporto p</w:t>
            </w:r>
            <w:r>
              <w:rPr>
                <w:color w:val="000000"/>
                <w:sz w:val="20"/>
                <w:szCs w:val="20"/>
              </w:rPr>
              <w:t>er famiglie accoglienti</w:t>
            </w:r>
          </w:p>
        </w:tc>
      </w:tr>
      <w:tr w:rsidR="00894347" w14:paraId="4F2EA95E" w14:textId="77777777">
        <w:trPr>
          <w:trHeight w:val="255"/>
        </w:trPr>
        <w:tc>
          <w:tcPr>
            <w:tcW w:w="2263" w:type="dxa"/>
          </w:tcPr>
          <w:p w14:paraId="15E97F64" w14:textId="77777777" w:rsidR="00894347" w:rsidRDefault="00E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Centri per Minori a rischio con servizi ludico ricreativi e formativi, sostegno scolastico, laboratori educativi.</w:t>
            </w:r>
          </w:p>
        </w:tc>
        <w:tc>
          <w:tcPr>
            <w:tcW w:w="2127" w:type="dxa"/>
          </w:tcPr>
          <w:p w14:paraId="39C8EA55" w14:textId="77777777" w:rsidR="00894347" w:rsidRDefault="00E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Minori che vivono in povertà, minori immigrati arrivati da poco in Italia, figli di immigrati nati in Italia, figli di soggetti sottoposti a regime detentivo. </w:t>
            </w:r>
          </w:p>
        </w:tc>
        <w:tc>
          <w:tcPr>
            <w:tcW w:w="5178" w:type="dxa"/>
          </w:tcPr>
          <w:p w14:paraId="6BD291E6" w14:textId="77777777" w:rsidR="00894347" w:rsidRDefault="00E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 volontari opereranno maggiormente per attività di supporto scolastico e per la realizzazione d</w:t>
            </w:r>
            <w:r>
              <w:rPr>
                <w:color w:val="000000"/>
                <w:sz w:val="20"/>
                <w:szCs w:val="20"/>
              </w:rPr>
              <w:t>i laboratori ludico ricreativi.</w:t>
            </w:r>
          </w:p>
          <w:p w14:paraId="0834084A" w14:textId="77777777" w:rsidR="00894347" w:rsidRDefault="00E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Affronteranno problematiche varie di marginalizzazione e categorizzazione e lavoreranno per il raggiungimento di obiettivi di integrazione, interazione per favorire processi di inclusione, riscatto e cambiamento.</w:t>
            </w:r>
          </w:p>
        </w:tc>
      </w:tr>
      <w:tr w:rsidR="00894347" w14:paraId="0D51FB88" w14:textId="77777777">
        <w:trPr>
          <w:trHeight w:val="255"/>
        </w:trPr>
        <w:tc>
          <w:tcPr>
            <w:tcW w:w="2263" w:type="dxa"/>
          </w:tcPr>
          <w:p w14:paraId="4C24549D" w14:textId="77777777" w:rsidR="00894347" w:rsidRDefault="00E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Centri acc</w:t>
            </w:r>
            <w:r>
              <w:rPr>
                <w:b/>
                <w:color w:val="000000"/>
                <w:sz w:val="20"/>
                <w:szCs w:val="20"/>
              </w:rPr>
              <w:t>oglienza minori immigrati che svolgono: mediazione linguistico-culturale; orientamento e accesso ai servizi del territorio.</w:t>
            </w:r>
          </w:p>
        </w:tc>
        <w:tc>
          <w:tcPr>
            <w:tcW w:w="2127" w:type="dxa"/>
          </w:tcPr>
          <w:p w14:paraId="28CEE03B" w14:textId="77777777" w:rsidR="00894347" w:rsidRDefault="00E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Minori stranieri non accompagnati in età adolescenziale con l'obiettivo di favorire l'inclusione sociale</w:t>
            </w:r>
          </w:p>
        </w:tc>
        <w:tc>
          <w:tcPr>
            <w:tcW w:w="5178" w:type="dxa"/>
          </w:tcPr>
          <w:p w14:paraId="237CFF11" w14:textId="77777777" w:rsidR="00894347" w:rsidRDefault="00E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 volontari saranno coinvolti attivamente nelle attività proposte supportati dall’equipe che favorirà il processo di conoscenza dei beneficiari della s</w:t>
            </w:r>
            <w:r>
              <w:rPr>
                <w:color w:val="000000"/>
                <w:sz w:val="20"/>
                <w:szCs w:val="20"/>
              </w:rPr>
              <w:t xml:space="preserve">truttura e degli strumenti </w:t>
            </w:r>
            <w:proofErr w:type="gramStart"/>
            <w:r>
              <w:rPr>
                <w:color w:val="000000"/>
                <w:sz w:val="20"/>
                <w:szCs w:val="20"/>
              </w:rPr>
              <w:t>messi in campo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per realizzare le attività, in particolare saranno interessati nelle attività di supporto scolastico, ludico- ricreative, accompagnamento e orientamento ai servizi del territorio, e faciliteranno il percorso di inc</w:t>
            </w:r>
            <w:r>
              <w:rPr>
                <w:color w:val="000000"/>
                <w:sz w:val="20"/>
                <w:szCs w:val="20"/>
              </w:rPr>
              <w:t>lusione e inserimento socio lavorativo. Svolgeranno anche orientamento e accompagnamento all'inserimento lavorativo; orientamento e accompagnamento all'inserimento abitativo; orientamento e di accompagnamento all'inserimento sociale; orientamento e accompa</w:t>
            </w:r>
            <w:r>
              <w:rPr>
                <w:color w:val="000000"/>
                <w:sz w:val="20"/>
                <w:szCs w:val="20"/>
              </w:rPr>
              <w:t>gnamento legale; tutela psico-</w:t>
            </w:r>
            <w:proofErr w:type="gramStart"/>
            <w:r>
              <w:rPr>
                <w:color w:val="000000"/>
                <w:sz w:val="20"/>
                <w:szCs w:val="20"/>
              </w:rPr>
              <w:t>socio-sanitaria</w:t>
            </w:r>
            <w:proofErr w:type="gramEnd"/>
          </w:p>
        </w:tc>
      </w:tr>
      <w:tr w:rsidR="00894347" w14:paraId="2DBE32A0" w14:textId="77777777">
        <w:trPr>
          <w:trHeight w:val="255"/>
        </w:trPr>
        <w:tc>
          <w:tcPr>
            <w:tcW w:w="2263" w:type="dxa"/>
          </w:tcPr>
          <w:p w14:paraId="1D2B4768" w14:textId="77777777" w:rsidR="00894347" w:rsidRDefault="00E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Centri di Aggregazione Giovanile con progetti finalizzati alla prevenzione del disagio giovanile.</w:t>
            </w:r>
          </w:p>
        </w:tc>
        <w:tc>
          <w:tcPr>
            <w:tcW w:w="2127" w:type="dxa"/>
          </w:tcPr>
          <w:p w14:paraId="205F20B3" w14:textId="77777777" w:rsidR="00894347" w:rsidRDefault="00E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Minori in età compresa tra i 6 e i 12 anni inviati dai servizi sociali comunali, dalle scuole del territorio o </w:t>
            </w:r>
            <w:r>
              <w:rPr>
                <w:color w:val="000000"/>
                <w:sz w:val="20"/>
                <w:szCs w:val="20"/>
              </w:rPr>
              <w:t xml:space="preserve">arrivano tramite </w:t>
            </w:r>
            <w:proofErr w:type="spellStart"/>
            <w:r>
              <w:rPr>
                <w:color w:val="000000"/>
                <w:sz w:val="20"/>
                <w:szCs w:val="20"/>
              </w:rPr>
              <w:t>autoinvio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Minori con ADHD, disturbo dell'attenzione. </w:t>
            </w:r>
          </w:p>
        </w:tc>
        <w:tc>
          <w:tcPr>
            <w:tcW w:w="5178" w:type="dxa"/>
          </w:tcPr>
          <w:p w14:paraId="7C76242D" w14:textId="77777777" w:rsidR="00894347" w:rsidRDefault="00E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Affiancamento nelle attività ordinaria dei Centri. Attività di osservazione partecipata delle, conoscenza dei minori e sviluppo relazione con loro. Affiancamento alle attività che prev</w:t>
            </w:r>
            <w:r>
              <w:rPr>
                <w:color w:val="000000"/>
                <w:sz w:val="20"/>
                <w:szCs w:val="20"/>
              </w:rPr>
              <w:t xml:space="preserve">edrà l'organizzazione e la realizzazione di laboratori creativi, attività ludiche, escursioni naturalistiche, supporto scolastico, turismo sociale.  </w:t>
            </w:r>
          </w:p>
          <w:p w14:paraId="5B56D88B" w14:textId="77777777" w:rsidR="00894347" w:rsidRDefault="00E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Attività di sostegno scolastico (doposcuola); - Attività di organizzazione del tempo libero dei minori della Comunità; - Attività pratiche, creative e aggregative sia nella Comunità che nel territorio; - Accompagnamento a gite o uscite; - Attività di rete </w:t>
            </w:r>
            <w:r>
              <w:rPr>
                <w:color w:val="000000"/>
                <w:sz w:val="20"/>
                <w:szCs w:val="20"/>
              </w:rPr>
              <w:t>con associazioni giovanili del territorio. Le attività prevedono escursioni naturalistiche e culturali, laboratori creativi, attività ludiche e supporto scolastico.</w:t>
            </w:r>
          </w:p>
        </w:tc>
      </w:tr>
      <w:tr w:rsidR="00894347" w14:paraId="0EC9E12C" w14:textId="77777777">
        <w:trPr>
          <w:trHeight w:val="255"/>
        </w:trPr>
        <w:tc>
          <w:tcPr>
            <w:tcW w:w="2263" w:type="dxa"/>
          </w:tcPr>
          <w:p w14:paraId="74A8EDB4" w14:textId="77777777" w:rsidR="00894347" w:rsidRDefault="00E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Servizi per minori e famiglie</w:t>
            </w:r>
          </w:p>
        </w:tc>
        <w:tc>
          <w:tcPr>
            <w:tcW w:w="2127" w:type="dxa"/>
          </w:tcPr>
          <w:p w14:paraId="0FB3FA78" w14:textId="77777777" w:rsidR="00894347" w:rsidRDefault="00E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Minori dai 6 ai 13 anni in situazione di disagio e povertà educativa che si ritrovano a rischio dispersione scolastica. </w:t>
            </w:r>
          </w:p>
        </w:tc>
        <w:tc>
          <w:tcPr>
            <w:tcW w:w="5178" w:type="dxa"/>
          </w:tcPr>
          <w:p w14:paraId="069C8C9D" w14:textId="77777777" w:rsidR="00894347" w:rsidRDefault="00E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 volontari si occuperanno di affiancare e supportare psicologi ed educatori nella realizzazione delle attività di doposcuola per minor</w:t>
            </w:r>
            <w:r>
              <w:rPr>
                <w:color w:val="000000"/>
                <w:sz w:val="20"/>
                <w:szCs w:val="20"/>
              </w:rPr>
              <w:t xml:space="preserve">i (dai 6 ai 13 anni), contribuendo all'apprendimento di competenze e allo sviluppo relazionale e sociale dei partecipanti al progetto, oltre ad interventi di natura ludico, </w:t>
            </w:r>
            <w:proofErr w:type="spellStart"/>
            <w:r>
              <w:rPr>
                <w:color w:val="000000"/>
                <w:sz w:val="20"/>
                <w:szCs w:val="20"/>
              </w:rPr>
              <w:t>animativa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 aggregativa inerenti </w:t>
            </w:r>
            <w:proofErr w:type="gramStart"/>
            <w:r>
              <w:rPr>
                <w:color w:val="000000"/>
                <w:sz w:val="20"/>
                <w:szCs w:val="20"/>
              </w:rPr>
              <w:t>il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tempo libero e l’estate. </w:t>
            </w:r>
          </w:p>
          <w:p w14:paraId="3ECB0D4C" w14:textId="77777777" w:rsidR="00894347" w:rsidRDefault="00894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94347" w14:paraId="314FC1EF" w14:textId="77777777">
        <w:trPr>
          <w:trHeight w:val="255"/>
        </w:trPr>
        <w:tc>
          <w:tcPr>
            <w:tcW w:w="2263" w:type="dxa"/>
          </w:tcPr>
          <w:p w14:paraId="71D0102D" w14:textId="77777777" w:rsidR="00894347" w:rsidRDefault="00E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Comunità educative per minori. </w:t>
            </w:r>
          </w:p>
        </w:tc>
        <w:tc>
          <w:tcPr>
            <w:tcW w:w="2127" w:type="dxa"/>
          </w:tcPr>
          <w:p w14:paraId="56097B38" w14:textId="77777777" w:rsidR="00894347" w:rsidRDefault="00E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Minori con forme di disagio familiare e sociale. Minori con disturbi di apprendimento e problemi relazionali di vari livelli</w:t>
            </w:r>
          </w:p>
        </w:tc>
        <w:tc>
          <w:tcPr>
            <w:tcW w:w="5178" w:type="dxa"/>
          </w:tcPr>
          <w:p w14:paraId="44C8EA56" w14:textId="77777777" w:rsidR="00894347" w:rsidRDefault="00E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 volontari SCU affiancheranno il personale educativo delle progettazioni sopra indicate. </w:t>
            </w:r>
            <w:proofErr w:type="gramStart"/>
            <w:r>
              <w:rPr>
                <w:color w:val="000000"/>
                <w:sz w:val="20"/>
                <w:szCs w:val="20"/>
              </w:rPr>
              <w:t>In partic</w:t>
            </w:r>
            <w:r>
              <w:rPr>
                <w:color w:val="000000"/>
                <w:sz w:val="20"/>
                <w:szCs w:val="20"/>
              </w:rPr>
              <w:t>olare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si curerà, vista l'età dei minori, all'accessibilità all'educazione scolastica come trampolino per una formazione personale e professionale.</w:t>
            </w:r>
          </w:p>
          <w:p w14:paraId="6AD2BAA8" w14:textId="77777777" w:rsidR="00894347" w:rsidRDefault="00E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Attività di accoglienza, osservazione, supporto scolastico, inserimento lavorativo, attività di stage, attivi</w:t>
            </w:r>
            <w:r>
              <w:rPr>
                <w:color w:val="000000"/>
                <w:sz w:val="20"/>
                <w:szCs w:val="20"/>
              </w:rPr>
              <w:t>tà ludico- ricreative-espressive, progettazioni individualizzate, con l'obiettivo di sviluppare in questi ragazzi abilità e competenze attraverso inserimenti scolastici, formativi e lavorativi.</w:t>
            </w:r>
          </w:p>
        </w:tc>
      </w:tr>
      <w:tr w:rsidR="00894347" w14:paraId="006A4F8E" w14:textId="77777777">
        <w:trPr>
          <w:trHeight w:val="255"/>
        </w:trPr>
        <w:tc>
          <w:tcPr>
            <w:tcW w:w="2263" w:type="dxa"/>
          </w:tcPr>
          <w:p w14:paraId="5BCFADE3" w14:textId="77777777" w:rsidR="00894347" w:rsidRDefault="00E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Strutture di accoglienza per minori con problematiche d disabilità cognitive. </w:t>
            </w:r>
          </w:p>
        </w:tc>
        <w:tc>
          <w:tcPr>
            <w:tcW w:w="2127" w:type="dxa"/>
          </w:tcPr>
          <w:p w14:paraId="494EC2EB" w14:textId="77777777" w:rsidR="00894347" w:rsidRDefault="00E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Minori con diverse fasce di età, italiani e stranieri, provenienti da situazioni di grave maltrattamento, di disagio psico-sociale, di fragilità psichica, con o senza segnalazio</w:t>
            </w:r>
            <w:r>
              <w:rPr>
                <w:color w:val="000000"/>
                <w:sz w:val="20"/>
                <w:szCs w:val="20"/>
              </w:rPr>
              <w:t xml:space="preserve">ne da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parte del Tribunale per i Minorenni, in carico ai Servizi. </w:t>
            </w:r>
          </w:p>
        </w:tc>
        <w:tc>
          <w:tcPr>
            <w:tcW w:w="5178" w:type="dxa"/>
          </w:tcPr>
          <w:p w14:paraId="6D9888F6" w14:textId="77777777" w:rsidR="00894347" w:rsidRDefault="00E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I volontari saranno coinvolti nel supporto agli operatori nella gestione delle attività quotidiane programmate all'interno dei servizi residenziali. Particolare attenzione viene inoltre post</w:t>
            </w:r>
            <w:r>
              <w:rPr>
                <w:color w:val="000000"/>
                <w:sz w:val="20"/>
                <w:szCs w:val="20"/>
              </w:rPr>
              <w:t xml:space="preserve">a nel coinvolgere i volontari nel supporto organizzativo e gestione delle attività semi-residenziali e laboratoriali proposte ai minori all'interno dell'attività del diurno e dei progetti territoriali. In presenza di nuove progettazioni e/o attivazione di </w:t>
            </w:r>
            <w:r>
              <w:rPr>
                <w:color w:val="000000"/>
                <w:sz w:val="20"/>
                <w:szCs w:val="20"/>
              </w:rPr>
              <w:t xml:space="preserve">nuovi servizi è previsto il loro coinvolgimento nelle fasi di </w:t>
            </w:r>
            <w:r>
              <w:rPr>
                <w:color w:val="000000"/>
                <w:sz w:val="20"/>
                <w:szCs w:val="20"/>
              </w:rPr>
              <w:lastRenderedPageBreak/>
              <w:t>sviluppo e comunicazione degli stessi.</w:t>
            </w:r>
          </w:p>
          <w:p w14:paraId="0FCB2C2C" w14:textId="77777777" w:rsidR="00894347" w:rsidRDefault="00E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fianco dell’intervento residenziale, sono inoltre attive sul territorio con la proposta di attività e servizi specifici come le progettazioni sul tema de</w:t>
            </w:r>
            <w:r>
              <w:rPr>
                <w:color w:val="000000"/>
                <w:sz w:val="20"/>
                <w:szCs w:val="20"/>
              </w:rPr>
              <w:t>l contrasto alla dispersione scolastica e dell’accompagnamento all’inclusione formativa-lavorativa, la strutturazione di percorsi sul tema dell’autonomia, attraverso la messa a disposizione di appartamenti dedicati, le attività di accompagnamento alla prat</w:t>
            </w:r>
            <w:r>
              <w:rPr>
                <w:color w:val="000000"/>
                <w:sz w:val="20"/>
                <w:szCs w:val="20"/>
              </w:rPr>
              <w:t xml:space="preserve">ica sportiva. La presenza dei volontari permette di facilitare il confronto con la loro "normalità" di vita rispetto </w:t>
            </w:r>
            <w:proofErr w:type="gramStart"/>
            <w:r>
              <w:rPr>
                <w:color w:val="000000"/>
                <w:sz w:val="20"/>
                <w:szCs w:val="20"/>
              </w:rPr>
              <w:t>alle situazione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di difficoltà/disagio da cui provengono i minori.</w:t>
            </w:r>
          </w:p>
        </w:tc>
      </w:tr>
      <w:tr w:rsidR="00894347" w14:paraId="7ECA0D6C" w14:textId="77777777">
        <w:trPr>
          <w:trHeight w:val="255"/>
        </w:trPr>
        <w:tc>
          <w:tcPr>
            <w:tcW w:w="2263" w:type="dxa"/>
          </w:tcPr>
          <w:p w14:paraId="097ABD93" w14:textId="77777777" w:rsidR="00894347" w:rsidRDefault="00E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Comunità residenziali e comunità Diurne</w:t>
            </w:r>
          </w:p>
        </w:tc>
        <w:tc>
          <w:tcPr>
            <w:tcW w:w="2127" w:type="dxa"/>
          </w:tcPr>
          <w:p w14:paraId="44C772B7" w14:textId="77777777" w:rsidR="00894347" w:rsidRDefault="00E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minori in situazioni di rischio e pregiudizio, in carico a servizi sociali territoriali (Protezione e cura dei minori, Neuropsichiatria Infantile, Consultorio Famigliare) ragazzi e ragazze collocati in comunità su provvedimento civile e/o penale dell'AGM.</w:t>
            </w:r>
          </w:p>
        </w:tc>
        <w:tc>
          <w:tcPr>
            <w:tcW w:w="5178" w:type="dxa"/>
          </w:tcPr>
          <w:p w14:paraId="3288B24E" w14:textId="77777777" w:rsidR="00894347" w:rsidRDefault="00E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 volontari saranno impegnati nell’accompagnamento e affiancamento dei ragazzi accolti in attività scolastica, esperienziali, socializzanti. </w:t>
            </w:r>
            <w:proofErr w:type="gramStart"/>
            <w:r>
              <w:rPr>
                <w:color w:val="000000"/>
                <w:sz w:val="20"/>
                <w:szCs w:val="20"/>
              </w:rPr>
              <w:t>Inoltre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affiancheranno i destinatari in attività della vita quotidiana presso la sede della cooperativa.  L’equipe </w:t>
            </w:r>
            <w:r>
              <w:rPr>
                <w:color w:val="000000"/>
                <w:sz w:val="20"/>
                <w:szCs w:val="20"/>
              </w:rPr>
              <w:t>di educatori opera con i ragazzi su tutti gli aspetti legati alla loro crescita (scuola, tempo libero, relazioni, famiglia).</w:t>
            </w:r>
          </w:p>
          <w:p w14:paraId="412D37FF" w14:textId="77777777" w:rsidR="00894347" w:rsidRDefault="00E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Supporto alle attività all'interno delle comunità alloggio per minori, volte a costruire processi di inclusione sociale, potenziare</w:t>
            </w:r>
            <w:r>
              <w:rPr>
                <w:color w:val="000000"/>
                <w:sz w:val="20"/>
                <w:szCs w:val="20"/>
              </w:rPr>
              <w:t xml:space="preserve"> gli interventi </w:t>
            </w:r>
            <w:proofErr w:type="gramStart"/>
            <w:r>
              <w:rPr>
                <w:color w:val="000000"/>
                <w:sz w:val="20"/>
                <w:szCs w:val="20"/>
              </w:rPr>
              <w:t>socio culturali</w:t>
            </w:r>
            <w:proofErr w:type="gramEnd"/>
            <w:r>
              <w:rPr>
                <w:color w:val="000000"/>
                <w:sz w:val="20"/>
                <w:szCs w:val="20"/>
              </w:rPr>
              <w:t>, favorire il successo formativo,</w:t>
            </w:r>
          </w:p>
        </w:tc>
      </w:tr>
    </w:tbl>
    <w:p w14:paraId="2871D5A2" w14:textId="77777777" w:rsidR="00894347" w:rsidRDefault="008943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321D62D2" w14:textId="77777777" w:rsidR="00894347" w:rsidRDefault="00EE74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POSTI DISPONIBILI, SERVIZI OFFERTI:</w:t>
      </w:r>
    </w:p>
    <w:p w14:paraId="2C64EA42" w14:textId="77777777" w:rsidR="00894347" w:rsidRDefault="00EE74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numero posti totali: 80</w:t>
      </w:r>
    </w:p>
    <w:p w14:paraId="367BA2E5" w14:textId="77777777" w:rsidR="00894347" w:rsidRDefault="00EE74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Posti con vitto e alloggio: 12 </w:t>
      </w:r>
    </w:p>
    <w:p w14:paraId="4024F885" w14:textId="77777777" w:rsidR="00894347" w:rsidRDefault="00EE74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  <w:between w:val="nil"/>
        </w:pBdr>
        <w:spacing w:line="240" w:lineRule="auto"/>
        <w:ind w:left="0" w:hanging="2"/>
        <w:rPr>
          <w:color w:val="FF0000"/>
          <w:sz w:val="20"/>
          <w:szCs w:val="20"/>
        </w:rPr>
      </w:pPr>
      <w:r>
        <w:rPr>
          <w:color w:val="000000"/>
          <w:sz w:val="20"/>
          <w:szCs w:val="20"/>
        </w:rPr>
        <w:t>Posti con solo vitto: 10</w:t>
      </w:r>
    </w:p>
    <w:p w14:paraId="655ECB2C" w14:textId="77777777" w:rsidR="00894347" w:rsidRDefault="00EE74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Posti senza vitto e alloggio: 58</w:t>
      </w:r>
    </w:p>
    <w:p w14:paraId="00A5546B" w14:textId="77777777" w:rsidR="00894347" w:rsidRDefault="008943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61A442E5" w14:textId="77777777" w:rsidR="00894347" w:rsidRDefault="00EE74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Segue tabella con dettaglio</w:t>
      </w:r>
    </w:p>
    <w:p w14:paraId="75A7239B" w14:textId="77777777" w:rsidR="00894347" w:rsidRDefault="008943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280DE380" w14:textId="77777777" w:rsidR="00894347" w:rsidRDefault="008943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tbl>
      <w:tblPr>
        <w:tblStyle w:val="a1"/>
        <w:tblW w:w="11260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1360"/>
        <w:gridCol w:w="2160"/>
        <w:gridCol w:w="2620"/>
        <w:gridCol w:w="2620"/>
        <w:gridCol w:w="900"/>
        <w:gridCol w:w="920"/>
        <w:gridCol w:w="680"/>
      </w:tblGrid>
      <w:tr w:rsidR="00894347" w14:paraId="6A45539D" w14:textId="77777777">
        <w:trPr>
          <w:trHeight w:val="870"/>
        </w:trPr>
        <w:tc>
          <w:tcPr>
            <w:tcW w:w="1360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70AD47"/>
          </w:tcPr>
          <w:p w14:paraId="37DD7872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REGIONE</w:t>
            </w:r>
          </w:p>
        </w:tc>
        <w:tc>
          <w:tcPr>
            <w:tcW w:w="2160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70AD47"/>
          </w:tcPr>
          <w:p w14:paraId="46628A2D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PROV.</w:t>
            </w:r>
          </w:p>
        </w:tc>
        <w:tc>
          <w:tcPr>
            <w:tcW w:w="2620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70AD47"/>
          </w:tcPr>
          <w:p w14:paraId="4D5BB53E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COMUNE</w:t>
            </w:r>
          </w:p>
        </w:tc>
        <w:tc>
          <w:tcPr>
            <w:tcW w:w="2620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70AD47"/>
          </w:tcPr>
          <w:p w14:paraId="5244DDA5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ENTE</w:t>
            </w:r>
          </w:p>
        </w:tc>
        <w:tc>
          <w:tcPr>
            <w:tcW w:w="900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70AD47"/>
          </w:tcPr>
          <w:p w14:paraId="36F7DFC7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Senza vitto e alloggio</w:t>
            </w:r>
          </w:p>
        </w:tc>
        <w:tc>
          <w:tcPr>
            <w:tcW w:w="920" w:type="dxa"/>
            <w:tcBorders>
              <w:top w:val="single" w:sz="4" w:space="0" w:color="70AD47"/>
              <w:left w:val="nil"/>
              <w:bottom w:val="nil"/>
              <w:right w:val="nil"/>
            </w:tcBorders>
            <w:shd w:val="clear" w:color="auto" w:fill="70AD47"/>
          </w:tcPr>
          <w:p w14:paraId="5E50B127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Con vitto e alloggio</w:t>
            </w:r>
          </w:p>
        </w:tc>
        <w:tc>
          <w:tcPr>
            <w:tcW w:w="680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70AD47"/>
          </w:tcPr>
          <w:p w14:paraId="58A91988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Solo Vitto</w:t>
            </w:r>
          </w:p>
        </w:tc>
      </w:tr>
      <w:tr w:rsidR="00894347" w14:paraId="6E84E2CB" w14:textId="77777777">
        <w:trPr>
          <w:trHeight w:val="290"/>
        </w:trPr>
        <w:tc>
          <w:tcPr>
            <w:tcW w:w="1360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</w:tcPr>
          <w:p w14:paraId="00A5ACBE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Calabria</w:t>
            </w:r>
          </w:p>
        </w:tc>
        <w:tc>
          <w:tcPr>
            <w:tcW w:w="216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6EE0AE6A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COSENZA</w:t>
            </w:r>
          </w:p>
        </w:tc>
        <w:tc>
          <w:tcPr>
            <w:tcW w:w="26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3C901DF5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COSENZA </w:t>
            </w:r>
          </w:p>
        </w:tc>
        <w:tc>
          <w:tcPr>
            <w:tcW w:w="26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7FDA1259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San Pancrazio</w:t>
            </w:r>
          </w:p>
        </w:tc>
        <w:tc>
          <w:tcPr>
            <w:tcW w:w="90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6BFED212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29CDF28E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</w:tcPr>
          <w:p w14:paraId="5CDEE85B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94347" w14:paraId="7FE7D577" w14:textId="77777777">
        <w:trPr>
          <w:trHeight w:val="290"/>
        </w:trPr>
        <w:tc>
          <w:tcPr>
            <w:tcW w:w="1360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</w:tcPr>
          <w:p w14:paraId="7AFD699F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Calabria</w:t>
            </w:r>
          </w:p>
        </w:tc>
        <w:tc>
          <w:tcPr>
            <w:tcW w:w="216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66C9FDE8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REGGIO CALABRIA</w:t>
            </w:r>
          </w:p>
        </w:tc>
        <w:tc>
          <w:tcPr>
            <w:tcW w:w="26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6E1EA4F0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POLISTENA </w:t>
            </w:r>
          </w:p>
        </w:tc>
        <w:tc>
          <w:tcPr>
            <w:tcW w:w="26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28AA8E77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Parrocchia Santa Marina Vergine</w:t>
            </w:r>
          </w:p>
        </w:tc>
        <w:tc>
          <w:tcPr>
            <w:tcW w:w="90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322827B3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4987C7E8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</w:tcPr>
          <w:p w14:paraId="790CECDD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94347" w14:paraId="7AD483B7" w14:textId="77777777">
        <w:trPr>
          <w:trHeight w:val="290"/>
        </w:trPr>
        <w:tc>
          <w:tcPr>
            <w:tcW w:w="1360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</w:tcPr>
          <w:p w14:paraId="7BF527BE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Campania</w:t>
            </w:r>
          </w:p>
        </w:tc>
        <w:tc>
          <w:tcPr>
            <w:tcW w:w="216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0702AB6C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NAPOLI</w:t>
            </w:r>
          </w:p>
        </w:tc>
        <w:tc>
          <w:tcPr>
            <w:tcW w:w="26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0C770A68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MARIGLIANO </w:t>
            </w:r>
          </w:p>
        </w:tc>
        <w:tc>
          <w:tcPr>
            <w:tcW w:w="26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4DD6E5C9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IRENE '95 Coop. Soc</w:t>
            </w:r>
          </w:p>
        </w:tc>
        <w:tc>
          <w:tcPr>
            <w:tcW w:w="90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483A3E17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7D6CCBAC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</w:tcPr>
          <w:p w14:paraId="51CE8516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94347" w14:paraId="618E1DEB" w14:textId="77777777">
        <w:trPr>
          <w:trHeight w:val="290"/>
        </w:trPr>
        <w:tc>
          <w:tcPr>
            <w:tcW w:w="1360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</w:tcPr>
          <w:p w14:paraId="45CE04CF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Campania</w:t>
            </w:r>
          </w:p>
        </w:tc>
        <w:tc>
          <w:tcPr>
            <w:tcW w:w="216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0B9B4076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NAPOLI</w:t>
            </w:r>
          </w:p>
        </w:tc>
        <w:tc>
          <w:tcPr>
            <w:tcW w:w="26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5E049860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MARIGLIANO </w:t>
            </w:r>
          </w:p>
        </w:tc>
        <w:tc>
          <w:tcPr>
            <w:tcW w:w="26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71568CD7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IRENE '95 Coop. Soc.</w:t>
            </w:r>
          </w:p>
        </w:tc>
        <w:tc>
          <w:tcPr>
            <w:tcW w:w="90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2065F883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02FB7C5B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</w:tcPr>
          <w:p w14:paraId="04DE5C78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94347" w14:paraId="008FB8C9" w14:textId="77777777">
        <w:trPr>
          <w:trHeight w:val="580"/>
        </w:trPr>
        <w:tc>
          <w:tcPr>
            <w:tcW w:w="1360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</w:tcPr>
          <w:p w14:paraId="241EA54B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Campania</w:t>
            </w:r>
          </w:p>
        </w:tc>
        <w:tc>
          <w:tcPr>
            <w:tcW w:w="216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46B7EC23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NAPOLI</w:t>
            </w:r>
          </w:p>
        </w:tc>
        <w:tc>
          <w:tcPr>
            <w:tcW w:w="26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18EAD5E8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MARIGLIANO </w:t>
            </w:r>
          </w:p>
        </w:tc>
        <w:tc>
          <w:tcPr>
            <w:tcW w:w="26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041CDAEF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IRENE '95 COOPERATIVA SOCIALE</w:t>
            </w:r>
          </w:p>
        </w:tc>
        <w:tc>
          <w:tcPr>
            <w:tcW w:w="90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6207B865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5D39F606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</w:tcPr>
          <w:p w14:paraId="13A01D46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94347" w14:paraId="683BB57C" w14:textId="77777777">
        <w:trPr>
          <w:trHeight w:val="290"/>
        </w:trPr>
        <w:tc>
          <w:tcPr>
            <w:tcW w:w="1360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</w:tcPr>
          <w:p w14:paraId="24B0ACE5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Em. Romagna</w:t>
            </w:r>
          </w:p>
        </w:tc>
        <w:tc>
          <w:tcPr>
            <w:tcW w:w="216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28E597AC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BOLOGNA</w:t>
            </w:r>
          </w:p>
        </w:tc>
        <w:tc>
          <w:tcPr>
            <w:tcW w:w="26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0AF87598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BOLOGNA </w:t>
            </w:r>
          </w:p>
        </w:tc>
        <w:tc>
          <w:tcPr>
            <w:tcW w:w="26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78C40AB7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OPEN GROUP Coop. Soc.</w:t>
            </w:r>
          </w:p>
        </w:tc>
        <w:tc>
          <w:tcPr>
            <w:tcW w:w="90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13DC0369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7A7B84D2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</w:tcPr>
          <w:p w14:paraId="6FA35689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94347" w14:paraId="7EE88BDA" w14:textId="77777777">
        <w:trPr>
          <w:trHeight w:val="290"/>
        </w:trPr>
        <w:tc>
          <w:tcPr>
            <w:tcW w:w="1360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</w:tcPr>
          <w:p w14:paraId="55AE4FA8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Em. Romagna</w:t>
            </w:r>
          </w:p>
        </w:tc>
        <w:tc>
          <w:tcPr>
            <w:tcW w:w="216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1B32B24E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BOLOGNA</w:t>
            </w:r>
          </w:p>
        </w:tc>
        <w:tc>
          <w:tcPr>
            <w:tcW w:w="26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02EF1EC0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BOLOGNA </w:t>
            </w:r>
          </w:p>
        </w:tc>
        <w:tc>
          <w:tcPr>
            <w:tcW w:w="26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2A7B5902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OPEN GROUP Coop. Soc.</w:t>
            </w:r>
          </w:p>
        </w:tc>
        <w:tc>
          <w:tcPr>
            <w:tcW w:w="90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5912707A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3371E57E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</w:tcPr>
          <w:p w14:paraId="337DDF34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94347" w14:paraId="10109CB3" w14:textId="77777777">
        <w:trPr>
          <w:trHeight w:val="290"/>
        </w:trPr>
        <w:tc>
          <w:tcPr>
            <w:tcW w:w="1360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</w:tcPr>
          <w:p w14:paraId="3A4A32B7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Em. Romagna</w:t>
            </w:r>
          </w:p>
        </w:tc>
        <w:tc>
          <w:tcPr>
            <w:tcW w:w="216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4B886E85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BOLOGNA</w:t>
            </w:r>
          </w:p>
        </w:tc>
        <w:tc>
          <w:tcPr>
            <w:tcW w:w="26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4C04CE90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GAGGIO MONTANO </w:t>
            </w:r>
          </w:p>
        </w:tc>
        <w:tc>
          <w:tcPr>
            <w:tcW w:w="26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6F7559E1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OPEN GROUP Coop. Soc.</w:t>
            </w:r>
          </w:p>
        </w:tc>
        <w:tc>
          <w:tcPr>
            <w:tcW w:w="90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0405F857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7414CEC9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</w:tcPr>
          <w:p w14:paraId="5D4DE32A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94347" w14:paraId="1ACA3688" w14:textId="77777777">
        <w:trPr>
          <w:trHeight w:val="290"/>
        </w:trPr>
        <w:tc>
          <w:tcPr>
            <w:tcW w:w="1360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</w:tcPr>
          <w:p w14:paraId="68583BB8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Em. Romagna</w:t>
            </w:r>
          </w:p>
        </w:tc>
        <w:tc>
          <w:tcPr>
            <w:tcW w:w="216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1BF7E0A1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BOLOGNA</w:t>
            </w:r>
          </w:p>
        </w:tc>
        <w:tc>
          <w:tcPr>
            <w:tcW w:w="26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0F7151B7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MARZABOTTO </w:t>
            </w:r>
          </w:p>
        </w:tc>
        <w:tc>
          <w:tcPr>
            <w:tcW w:w="26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09588910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OPEN GROUP Coop. Soc.</w:t>
            </w:r>
          </w:p>
        </w:tc>
        <w:tc>
          <w:tcPr>
            <w:tcW w:w="90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248EEB67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19E997ED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</w:tcPr>
          <w:p w14:paraId="317619D8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94347" w14:paraId="7BA62891" w14:textId="77777777">
        <w:trPr>
          <w:trHeight w:val="290"/>
        </w:trPr>
        <w:tc>
          <w:tcPr>
            <w:tcW w:w="1360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</w:tcPr>
          <w:p w14:paraId="5A9AC8AF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Em. Romagna</w:t>
            </w:r>
          </w:p>
        </w:tc>
        <w:tc>
          <w:tcPr>
            <w:tcW w:w="216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7F11D423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BOLOGNA</w:t>
            </w:r>
          </w:p>
        </w:tc>
        <w:tc>
          <w:tcPr>
            <w:tcW w:w="26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6A043880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MARZABOTTO </w:t>
            </w:r>
          </w:p>
        </w:tc>
        <w:tc>
          <w:tcPr>
            <w:tcW w:w="26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3EF87505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OPEN GROUP Coop. Soc.</w:t>
            </w:r>
          </w:p>
        </w:tc>
        <w:tc>
          <w:tcPr>
            <w:tcW w:w="90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5CAE1795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1DCB9602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</w:tcPr>
          <w:p w14:paraId="26468D44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94347" w14:paraId="7E71DFEE" w14:textId="77777777">
        <w:trPr>
          <w:trHeight w:val="290"/>
        </w:trPr>
        <w:tc>
          <w:tcPr>
            <w:tcW w:w="1360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</w:tcPr>
          <w:p w14:paraId="306F2BBA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Em. Romagna</w:t>
            </w:r>
          </w:p>
        </w:tc>
        <w:tc>
          <w:tcPr>
            <w:tcW w:w="216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33ED4B86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BOLOGNA</w:t>
            </w:r>
          </w:p>
        </w:tc>
        <w:tc>
          <w:tcPr>
            <w:tcW w:w="26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31771C10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SALA BOLOGNESE </w:t>
            </w:r>
          </w:p>
        </w:tc>
        <w:tc>
          <w:tcPr>
            <w:tcW w:w="26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417C571F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OPEN GROUP Coop. Soc.</w:t>
            </w:r>
          </w:p>
        </w:tc>
        <w:tc>
          <w:tcPr>
            <w:tcW w:w="90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5A271AC6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293B07F4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</w:tcPr>
          <w:p w14:paraId="58ACF64D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94347" w14:paraId="11551D3E" w14:textId="77777777">
        <w:trPr>
          <w:trHeight w:val="290"/>
        </w:trPr>
        <w:tc>
          <w:tcPr>
            <w:tcW w:w="1360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</w:tcPr>
          <w:p w14:paraId="71A8A63E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Lazio</w:t>
            </w:r>
          </w:p>
        </w:tc>
        <w:tc>
          <w:tcPr>
            <w:tcW w:w="216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6DFE913B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ROMA</w:t>
            </w:r>
          </w:p>
        </w:tc>
        <w:tc>
          <w:tcPr>
            <w:tcW w:w="26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5A167640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MONTEROTONDO </w:t>
            </w:r>
          </w:p>
        </w:tc>
        <w:tc>
          <w:tcPr>
            <w:tcW w:w="26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2AC34BCB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FOLIAS Coop. Soc.</w:t>
            </w:r>
          </w:p>
        </w:tc>
        <w:tc>
          <w:tcPr>
            <w:tcW w:w="90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213F7CB8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1BA06DBF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</w:tcPr>
          <w:p w14:paraId="749EF620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94347" w14:paraId="34B1D1A4" w14:textId="77777777">
        <w:trPr>
          <w:trHeight w:val="290"/>
        </w:trPr>
        <w:tc>
          <w:tcPr>
            <w:tcW w:w="1360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</w:tcPr>
          <w:p w14:paraId="094F917E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Lazio</w:t>
            </w:r>
          </w:p>
        </w:tc>
        <w:tc>
          <w:tcPr>
            <w:tcW w:w="216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4C8D4A91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ROMA</w:t>
            </w:r>
          </w:p>
        </w:tc>
        <w:tc>
          <w:tcPr>
            <w:tcW w:w="26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63727491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MONTEROTONDO </w:t>
            </w:r>
          </w:p>
        </w:tc>
        <w:tc>
          <w:tcPr>
            <w:tcW w:w="26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38EEBAFD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FOLIAS Coop. Soc.</w:t>
            </w:r>
          </w:p>
        </w:tc>
        <w:tc>
          <w:tcPr>
            <w:tcW w:w="90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39884D5C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3D0C86E8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</w:tcPr>
          <w:p w14:paraId="24A04CDF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94347" w14:paraId="56074E75" w14:textId="77777777">
        <w:trPr>
          <w:trHeight w:val="290"/>
        </w:trPr>
        <w:tc>
          <w:tcPr>
            <w:tcW w:w="1360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</w:tcPr>
          <w:p w14:paraId="24C4571F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Liguria</w:t>
            </w:r>
          </w:p>
        </w:tc>
        <w:tc>
          <w:tcPr>
            <w:tcW w:w="216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1B4F123C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GENOVA</w:t>
            </w:r>
          </w:p>
        </w:tc>
        <w:tc>
          <w:tcPr>
            <w:tcW w:w="26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437B56B2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RAPALLO </w:t>
            </w:r>
          </w:p>
        </w:tc>
        <w:tc>
          <w:tcPr>
            <w:tcW w:w="26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6DB9CEC4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FONDAZIONE SOMASCHI </w:t>
            </w:r>
          </w:p>
        </w:tc>
        <w:tc>
          <w:tcPr>
            <w:tcW w:w="90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0C3E28D2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47B0BE41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</w:tcPr>
          <w:p w14:paraId="627FA5C4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94347" w14:paraId="0F9B01FF" w14:textId="77777777">
        <w:trPr>
          <w:trHeight w:val="290"/>
        </w:trPr>
        <w:tc>
          <w:tcPr>
            <w:tcW w:w="1360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</w:tcPr>
          <w:p w14:paraId="7159BAD0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Liguria</w:t>
            </w:r>
          </w:p>
        </w:tc>
        <w:tc>
          <w:tcPr>
            <w:tcW w:w="216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1A60B560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IMPERIA</w:t>
            </w:r>
          </w:p>
        </w:tc>
        <w:tc>
          <w:tcPr>
            <w:tcW w:w="26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0B1AE870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VALLECROSIA </w:t>
            </w:r>
          </w:p>
        </w:tc>
        <w:tc>
          <w:tcPr>
            <w:tcW w:w="26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2253CBE2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FONDAZIONE SOMASCHI </w:t>
            </w:r>
          </w:p>
        </w:tc>
        <w:tc>
          <w:tcPr>
            <w:tcW w:w="90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03C1639D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2D172E97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</w:tcPr>
          <w:p w14:paraId="6D63254E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94347" w14:paraId="0DDB948C" w14:textId="77777777">
        <w:trPr>
          <w:trHeight w:val="290"/>
        </w:trPr>
        <w:tc>
          <w:tcPr>
            <w:tcW w:w="1360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</w:tcPr>
          <w:p w14:paraId="48A85367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Lombardia</w:t>
            </w:r>
          </w:p>
        </w:tc>
        <w:tc>
          <w:tcPr>
            <w:tcW w:w="216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7C945FFF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COMO</w:t>
            </w:r>
          </w:p>
        </w:tc>
        <w:tc>
          <w:tcPr>
            <w:tcW w:w="26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6333A1B6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COMO </w:t>
            </w:r>
          </w:p>
        </w:tc>
        <w:tc>
          <w:tcPr>
            <w:tcW w:w="26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4ECFA87F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FONDAZIONE SOMASCHI </w:t>
            </w:r>
          </w:p>
        </w:tc>
        <w:tc>
          <w:tcPr>
            <w:tcW w:w="90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0F7FE0C3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37DE5D66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</w:tcPr>
          <w:p w14:paraId="68B1F39C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894347" w14:paraId="6A14C075" w14:textId="77777777">
        <w:trPr>
          <w:trHeight w:val="290"/>
        </w:trPr>
        <w:tc>
          <w:tcPr>
            <w:tcW w:w="1360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</w:tcPr>
          <w:p w14:paraId="3BDE6F6A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Lombardia</w:t>
            </w:r>
          </w:p>
        </w:tc>
        <w:tc>
          <w:tcPr>
            <w:tcW w:w="216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5F6503F5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COMO</w:t>
            </w:r>
          </w:p>
        </w:tc>
        <w:tc>
          <w:tcPr>
            <w:tcW w:w="26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4155AEA9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LAGLIO </w:t>
            </w:r>
          </w:p>
        </w:tc>
        <w:tc>
          <w:tcPr>
            <w:tcW w:w="26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0F1A6F60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FONDAZIONE SOMASCHI </w:t>
            </w:r>
          </w:p>
        </w:tc>
        <w:tc>
          <w:tcPr>
            <w:tcW w:w="90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042F7186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2B22C546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</w:tcPr>
          <w:p w14:paraId="6FF6CC9E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894347" w14:paraId="1A8BA7DE" w14:textId="77777777">
        <w:trPr>
          <w:trHeight w:val="290"/>
        </w:trPr>
        <w:tc>
          <w:tcPr>
            <w:tcW w:w="1360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</w:tcPr>
          <w:p w14:paraId="39283A78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Lombardia</w:t>
            </w:r>
          </w:p>
        </w:tc>
        <w:tc>
          <w:tcPr>
            <w:tcW w:w="216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5757F1FF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LECCO</w:t>
            </w:r>
          </w:p>
        </w:tc>
        <w:tc>
          <w:tcPr>
            <w:tcW w:w="26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63EBACC2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VERCURAGO </w:t>
            </w:r>
          </w:p>
        </w:tc>
        <w:tc>
          <w:tcPr>
            <w:tcW w:w="26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634F889C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FONDAZIONE SOMASCHI </w:t>
            </w:r>
          </w:p>
        </w:tc>
        <w:tc>
          <w:tcPr>
            <w:tcW w:w="90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7D38A55B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012C885A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</w:tcPr>
          <w:p w14:paraId="24779494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94347" w14:paraId="22A4BC91" w14:textId="77777777">
        <w:trPr>
          <w:trHeight w:val="290"/>
        </w:trPr>
        <w:tc>
          <w:tcPr>
            <w:tcW w:w="1360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</w:tcPr>
          <w:p w14:paraId="7AB3B42B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Lombardia</w:t>
            </w:r>
          </w:p>
        </w:tc>
        <w:tc>
          <w:tcPr>
            <w:tcW w:w="216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5B13C6E0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LECCO</w:t>
            </w:r>
          </w:p>
        </w:tc>
        <w:tc>
          <w:tcPr>
            <w:tcW w:w="26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20C15B2A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VERCURAGO </w:t>
            </w:r>
          </w:p>
        </w:tc>
        <w:tc>
          <w:tcPr>
            <w:tcW w:w="26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34D3214A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FONDAZIONE SOMASCHI </w:t>
            </w:r>
          </w:p>
        </w:tc>
        <w:tc>
          <w:tcPr>
            <w:tcW w:w="90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22B0F537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79BC16F1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</w:tcPr>
          <w:p w14:paraId="3FC92532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94347" w14:paraId="7562039C" w14:textId="77777777">
        <w:trPr>
          <w:trHeight w:val="290"/>
        </w:trPr>
        <w:tc>
          <w:tcPr>
            <w:tcW w:w="1360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</w:tcPr>
          <w:p w14:paraId="24E2D281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Lombardia</w:t>
            </w:r>
          </w:p>
        </w:tc>
        <w:tc>
          <w:tcPr>
            <w:tcW w:w="216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2CB271CF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LECCO</w:t>
            </w:r>
          </w:p>
        </w:tc>
        <w:tc>
          <w:tcPr>
            <w:tcW w:w="26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54C4EEF6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VERCURAGO </w:t>
            </w:r>
          </w:p>
        </w:tc>
        <w:tc>
          <w:tcPr>
            <w:tcW w:w="26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22102843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FONDAZIONE SOMASCHI </w:t>
            </w:r>
          </w:p>
        </w:tc>
        <w:tc>
          <w:tcPr>
            <w:tcW w:w="90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60E56476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5B4BDFB4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</w:tcPr>
          <w:p w14:paraId="08D1D842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94347" w14:paraId="5FBE8852" w14:textId="77777777">
        <w:trPr>
          <w:trHeight w:val="290"/>
        </w:trPr>
        <w:tc>
          <w:tcPr>
            <w:tcW w:w="1360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</w:tcPr>
          <w:p w14:paraId="4C317B3F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Lombardia</w:t>
            </w:r>
          </w:p>
        </w:tc>
        <w:tc>
          <w:tcPr>
            <w:tcW w:w="216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2151F83B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MILANO</w:t>
            </w:r>
          </w:p>
        </w:tc>
        <w:tc>
          <w:tcPr>
            <w:tcW w:w="26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60ACA8D4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MILANO </w:t>
            </w:r>
          </w:p>
        </w:tc>
        <w:tc>
          <w:tcPr>
            <w:tcW w:w="26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5AD5AC19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Comunità  Nuova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Onlus</w:t>
            </w:r>
          </w:p>
        </w:tc>
        <w:tc>
          <w:tcPr>
            <w:tcW w:w="90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5238282D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4F6A322B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</w:tcPr>
          <w:p w14:paraId="38138412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94347" w14:paraId="659D2EBC" w14:textId="77777777">
        <w:trPr>
          <w:trHeight w:val="290"/>
        </w:trPr>
        <w:tc>
          <w:tcPr>
            <w:tcW w:w="1360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</w:tcPr>
          <w:p w14:paraId="2B808D34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Marche </w:t>
            </w:r>
          </w:p>
        </w:tc>
        <w:tc>
          <w:tcPr>
            <w:tcW w:w="216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7DB5CE71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ASCOLI PICENO</w:t>
            </w:r>
          </w:p>
        </w:tc>
        <w:tc>
          <w:tcPr>
            <w:tcW w:w="26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42BDBAFD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ASCOLI PICENO </w:t>
            </w:r>
          </w:p>
        </w:tc>
        <w:tc>
          <w:tcPr>
            <w:tcW w:w="26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03BB5228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AMA AQUILONE Coop. S.</w:t>
            </w:r>
          </w:p>
        </w:tc>
        <w:tc>
          <w:tcPr>
            <w:tcW w:w="90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444B7EA1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1F45C5E0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</w:tcPr>
          <w:p w14:paraId="52C4DE9E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894347" w14:paraId="7886A3BE" w14:textId="77777777">
        <w:trPr>
          <w:trHeight w:val="290"/>
        </w:trPr>
        <w:tc>
          <w:tcPr>
            <w:tcW w:w="1360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</w:tcPr>
          <w:p w14:paraId="5A16CC3F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Piemonte</w:t>
            </w:r>
          </w:p>
        </w:tc>
        <w:tc>
          <w:tcPr>
            <w:tcW w:w="216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37A66095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CUNEO</w:t>
            </w:r>
          </w:p>
        </w:tc>
        <w:tc>
          <w:tcPr>
            <w:tcW w:w="26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04D409DA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NARZOLE </w:t>
            </w:r>
          </w:p>
        </w:tc>
        <w:tc>
          <w:tcPr>
            <w:tcW w:w="26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558A9BE1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FONDAZIONE SOMASCHI </w:t>
            </w:r>
          </w:p>
        </w:tc>
        <w:tc>
          <w:tcPr>
            <w:tcW w:w="90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418ADC9B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073E064C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</w:tcPr>
          <w:p w14:paraId="718438DE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94347" w14:paraId="35EF1619" w14:textId="77777777">
        <w:trPr>
          <w:trHeight w:val="290"/>
        </w:trPr>
        <w:tc>
          <w:tcPr>
            <w:tcW w:w="1360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</w:tcPr>
          <w:p w14:paraId="60449D0B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Puglia</w:t>
            </w:r>
          </w:p>
        </w:tc>
        <w:tc>
          <w:tcPr>
            <w:tcW w:w="216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434993ED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BARI</w:t>
            </w:r>
          </w:p>
        </w:tc>
        <w:tc>
          <w:tcPr>
            <w:tcW w:w="26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78BCB845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BARI </w:t>
            </w:r>
          </w:p>
        </w:tc>
        <w:tc>
          <w:tcPr>
            <w:tcW w:w="26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7AF632B6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CAPS Coop. Soc.</w:t>
            </w:r>
          </w:p>
        </w:tc>
        <w:tc>
          <w:tcPr>
            <w:tcW w:w="90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520475DD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102A81F8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</w:tcPr>
          <w:p w14:paraId="49C8C309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94347" w14:paraId="08403379" w14:textId="77777777">
        <w:trPr>
          <w:trHeight w:val="580"/>
        </w:trPr>
        <w:tc>
          <w:tcPr>
            <w:tcW w:w="1360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</w:tcPr>
          <w:p w14:paraId="302F9127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Puglia</w:t>
            </w:r>
          </w:p>
        </w:tc>
        <w:tc>
          <w:tcPr>
            <w:tcW w:w="216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2BE0575E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BARLETTA-ANDRIA-TRANI</w:t>
            </w:r>
          </w:p>
        </w:tc>
        <w:tc>
          <w:tcPr>
            <w:tcW w:w="26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58846E97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TRANI </w:t>
            </w:r>
          </w:p>
        </w:tc>
        <w:tc>
          <w:tcPr>
            <w:tcW w:w="26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6B936E98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Oasi 2</w:t>
            </w:r>
          </w:p>
        </w:tc>
        <w:tc>
          <w:tcPr>
            <w:tcW w:w="90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1206B1F6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25E5DDD8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</w:tcPr>
          <w:p w14:paraId="7E7C7923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94347" w14:paraId="0B72B499" w14:textId="77777777">
        <w:trPr>
          <w:trHeight w:val="290"/>
        </w:trPr>
        <w:tc>
          <w:tcPr>
            <w:tcW w:w="1360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</w:tcPr>
          <w:p w14:paraId="220350E5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Sardegna</w:t>
            </w:r>
          </w:p>
        </w:tc>
        <w:tc>
          <w:tcPr>
            <w:tcW w:w="216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744333E9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CAGLIARI</w:t>
            </w:r>
          </w:p>
        </w:tc>
        <w:tc>
          <w:tcPr>
            <w:tcW w:w="26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512B5FDD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ELMAS </w:t>
            </w:r>
          </w:p>
        </w:tc>
        <w:tc>
          <w:tcPr>
            <w:tcW w:w="26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0809829F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FONDAZIONE SOMASCHI </w:t>
            </w:r>
          </w:p>
        </w:tc>
        <w:tc>
          <w:tcPr>
            <w:tcW w:w="90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6FE4BF5D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358E3611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</w:tcPr>
          <w:p w14:paraId="2BBCF794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94347" w14:paraId="04BA5D7A" w14:textId="77777777">
        <w:trPr>
          <w:trHeight w:val="290"/>
        </w:trPr>
        <w:tc>
          <w:tcPr>
            <w:tcW w:w="1360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</w:tcPr>
          <w:p w14:paraId="4A86FE2A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Sicilia</w:t>
            </w:r>
          </w:p>
        </w:tc>
        <w:tc>
          <w:tcPr>
            <w:tcW w:w="216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37D16E05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CATANIA</w:t>
            </w:r>
          </w:p>
        </w:tc>
        <w:tc>
          <w:tcPr>
            <w:tcW w:w="26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78768AB5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CATANIA </w:t>
            </w:r>
          </w:p>
        </w:tc>
        <w:tc>
          <w:tcPr>
            <w:tcW w:w="26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76B43A3C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PROSPETTIVA Coop. Soc.</w:t>
            </w:r>
          </w:p>
        </w:tc>
        <w:tc>
          <w:tcPr>
            <w:tcW w:w="90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7B2B12FE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3E849C93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</w:tcPr>
          <w:p w14:paraId="00778873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94347" w14:paraId="0771DE22" w14:textId="77777777">
        <w:trPr>
          <w:trHeight w:val="290"/>
        </w:trPr>
        <w:tc>
          <w:tcPr>
            <w:tcW w:w="1360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</w:tcPr>
          <w:p w14:paraId="7CA0BF8D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Sicilia</w:t>
            </w:r>
          </w:p>
        </w:tc>
        <w:tc>
          <w:tcPr>
            <w:tcW w:w="216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3DE16C55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CATANIA</w:t>
            </w:r>
          </w:p>
        </w:tc>
        <w:tc>
          <w:tcPr>
            <w:tcW w:w="26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0C05C6E2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CATANIA </w:t>
            </w:r>
          </w:p>
        </w:tc>
        <w:tc>
          <w:tcPr>
            <w:tcW w:w="26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54AB82F3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PROSPETTIVA Coop. Soc.</w:t>
            </w:r>
          </w:p>
        </w:tc>
        <w:tc>
          <w:tcPr>
            <w:tcW w:w="90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52CB7C9E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63789928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</w:tcPr>
          <w:p w14:paraId="2498729E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94347" w14:paraId="2B31773C" w14:textId="77777777">
        <w:trPr>
          <w:trHeight w:val="290"/>
        </w:trPr>
        <w:tc>
          <w:tcPr>
            <w:tcW w:w="1360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</w:tcPr>
          <w:p w14:paraId="366383D0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Sicilia</w:t>
            </w:r>
          </w:p>
        </w:tc>
        <w:tc>
          <w:tcPr>
            <w:tcW w:w="216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22C484A7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PALERMO</w:t>
            </w:r>
          </w:p>
        </w:tc>
        <w:tc>
          <w:tcPr>
            <w:tcW w:w="26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6821B615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PALERMO </w:t>
            </w:r>
          </w:p>
        </w:tc>
        <w:tc>
          <w:tcPr>
            <w:tcW w:w="26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70534567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Centro di Acc. Padre Nostro </w:t>
            </w:r>
          </w:p>
        </w:tc>
        <w:tc>
          <w:tcPr>
            <w:tcW w:w="90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459A7156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50FABFE4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</w:tcPr>
          <w:p w14:paraId="3EA06AE4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94347" w14:paraId="4D82D39D" w14:textId="77777777">
        <w:trPr>
          <w:trHeight w:val="290"/>
        </w:trPr>
        <w:tc>
          <w:tcPr>
            <w:tcW w:w="1360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</w:tcPr>
          <w:p w14:paraId="23B7FA70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Veneto</w:t>
            </w:r>
          </w:p>
        </w:tc>
        <w:tc>
          <w:tcPr>
            <w:tcW w:w="216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640F52A8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PADOVA</w:t>
            </w:r>
          </w:p>
        </w:tc>
        <w:tc>
          <w:tcPr>
            <w:tcW w:w="26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3AE2EB2C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CITTADELLA </w:t>
            </w:r>
          </w:p>
        </w:tc>
        <w:tc>
          <w:tcPr>
            <w:tcW w:w="26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2E64BF4B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Fondazione La Grande Casa</w:t>
            </w:r>
          </w:p>
        </w:tc>
        <w:tc>
          <w:tcPr>
            <w:tcW w:w="90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6A0B5E96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51387F20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</w:tcPr>
          <w:p w14:paraId="7F71D845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894347" w14:paraId="464A1404" w14:textId="77777777">
        <w:trPr>
          <w:trHeight w:val="580"/>
        </w:trPr>
        <w:tc>
          <w:tcPr>
            <w:tcW w:w="1360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</w:tcPr>
          <w:p w14:paraId="2EFD1450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Veneto</w:t>
            </w:r>
          </w:p>
        </w:tc>
        <w:tc>
          <w:tcPr>
            <w:tcW w:w="216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3E011894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PADOVA</w:t>
            </w:r>
          </w:p>
        </w:tc>
        <w:tc>
          <w:tcPr>
            <w:tcW w:w="26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4B18C599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MONTAGNANA </w:t>
            </w:r>
          </w:p>
        </w:tc>
        <w:tc>
          <w:tcPr>
            <w:tcW w:w="26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106164A3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Associazione Pavoniana "La Famiglia"</w:t>
            </w:r>
          </w:p>
        </w:tc>
        <w:tc>
          <w:tcPr>
            <w:tcW w:w="90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035E83D5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5BF421D9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</w:tcPr>
          <w:p w14:paraId="3FC366C3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894347" w14:paraId="07666E06" w14:textId="77777777">
        <w:trPr>
          <w:trHeight w:val="290"/>
        </w:trPr>
        <w:tc>
          <w:tcPr>
            <w:tcW w:w="1360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</w:tcPr>
          <w:p w14:paraId="22EEBABE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Veneto</w:t>
            </w:r>
          </w:p>
        </w:tc>
        <w:tc>
          <w:tcPr>
            <w:tcW w:w="216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3B7EC3F8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PADOVA</w:t>
            </w:r>
          </w:p>
        </w:tc>
        <w:tc>
          <w:tcPr>
            <w:tcW w:w="26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0930DCBC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San Giorgio alle Pertiche </w:t>
            </w:r>
          </w:p>
        </w:tc>
        <w:tc>
          <w:tcPr>
            <w:tcW w:w="26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3290D165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Fondazione La Grande Casa</w:t>
            </w:r>
          </w:p>
        </w:tc>
        <w:tc>
          <w:tcPr>
            <w:tcW w:w="90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78BDD2E6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2550BF23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</w:tcPr>
          <w:p w14:paraId="25C165AD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894347" w14:paraId="36799590" w14:textId="77777777">
        <w:trPr>
          <w:trHeight w:val="290"/>
        </w:trPr>
        <w:tc>
          <w:tcPr>
            <w:tcW w:w="1360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</w:tcPr>
          <w:p w14:paraId="7F979D4A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Veneto</w:t>
            </w:r>
          </w:p>
        </w:tc>
        <w:tc>
          <w:tcPr>
            <w:tcW w:w="216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767A1A2A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TREVISO</w:t>
            </w:r>
          </w:p>
        </w:tc>
        <w:tc>
          <w:tcPr>
            <w:tcW w:w="26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454AA7E1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CROCETTA DEL MONTELLO </w:t>
            </w:r>
          </w:p>
        </w:tc>
        <w:tc>
          <w:tcPr>
            <w:tcW w:w="26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5C174EDC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Kiriku'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Coop. Soc.</w:t>
            </w:r>
          </w:p>
        </w:tc>
        <w:tc>
          <w:tcPr>
            <w:tcW w:w="90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05392BE3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7D554E65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</w:tcPr>
          <w:p w14:paraId="4CAD7BF7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94347" w14:paraId="7FCB56E3" w14:textId="77777777">
        <w:trPr>
          <w:trHeight w:val="290"/>
        </w:trPr>
        <w:tc>
          <w:tcPr>
            <w:tcW w:w="1360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</w:tcPr>
          <w:p w14:paraId="716B7F30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Veneto</w:t>
            </w:r>
          </w:p>
        </w:tc>
        <w:tc>
          <w:tcPr>
            <w:tcW w:w="216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43FB5863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VICENZA</w:t>
            </w:r>
          </w:p>
        </w:tc>
        <w:tc>
          <w:tcPr>
            <w:tcW w:w="26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1C7AA2DC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BASSANO DEL GRAPPA </w:t>
            </w:r>
          </w:p>
        </w:tc>
        <w:tc>
          <w:tcPr>
            <w:tcW w:w="26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27C6A40C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Adelante Coop. Soc. onlus</w:t>
            </w:r>
          </w:p>
        </w:tc>
        <w:tc>
          <w:tcPr>
            <w:tcW w:w="90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0A9016D6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54C8C53D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</w:tcPr>
          <w:p w14:paraId="3543A986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94347" w14:paraId="4308A820" w14:textId="77777777">
        <w:trPr>
          <w:trHeight w:val="290"/>
        </w:trPr>
        <w:tc>
          <w:tcPr>
            <w:tcW w:w="1360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</w:tcPr>
          <w:p w14:paraId="36D1412B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Veneto</w:t>
            </w:r>
          </w:p>
        </w:tc>
        <w:tc>
          <w:tcPr>
            <w:tcW w:w="216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14BDEE75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VICENZA</w:t>
            </w:r>
          </w:p>
        </w:tc>
        <w:tc>
          <w:tcPr>
            <w:tcW w:w="26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5571BE31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BASSANO DEL GRAPPA </w:t>
            </w:r>
          </w:p>
        </w:tc>
        <w:tc>
          <w:tcPr>
            <w:tcW w:w="26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079A46C7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COLOR Coop. Soc.</w:t>
            </w:r>
          </w:p>
        </w:tc>
        <w:tc>
          <w:tcPr>
            <w:tcW w:w="90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449A0620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63E9DE8D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</w:tcPr>
          <w:p w14:paraId="1E0BBAC4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94347" w14:paraId="21DE1F4B" w14:textId="77777777">
        <w:trPr>
          <w:trHeight w:val="290"/>
        </w:trPr>
        <w:tc>
          <w:tcPr>
            <w:tcW w:w="1360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</w:tcPr>
          <w:p w14:paraId="3E26B2EF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Veneto</w:t>
            </w:r>
          </w:p>
        </w:tc>
        <w:tc>
          <w:tcPr>
            <w:tcW w:w="216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6DAB5676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VICENZA</w:t>
            </w:r>
          </w:p>
        </w:tc>
        <w:tc>
          <w:tcPr>
            <w:tcW w:w="26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6120CC53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CALVENE </w:t>
            </w:r>
          </w:p>
        </w:tc>
        <w:tc>
          <w:tcPr>
            <w:tcW w:w="26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424B75E0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Radica' Coop. Soc.</w:t>
            </w:r>
          </w:p>
        </w:tc>
        <w:tc>
          <w:tcPr>
            <w:tcW w:w="90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63F5F787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6E25D81F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</w:tcPr>
          <w:p w14:paraId="3CE1148C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94347" w14:paraId="42BC3314" w14:textId="77777777">
        <w:trPr>
          <w:trHeight w:val="290"/>
        </w:trPr>
        <w:tc>
          <w:tcPr>
            <w:tcW w:w="1360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</w:tcPr>
          <w:p w14:paraId="61635151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Veneto</w:t>
            </w:r>
          </w:p>
        </w:tc>
        <w:tc>
          <w:tcPr>
            <w:tcW w:w="216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3A337ECC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VICENZA</w:t>
            </w:r>
          </w:p>
        </w:tc>
        <w:tc>
          <w:tcPr>
            <w:tcW w:w="26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649420F0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VICENZA </w:t>
            </w:r>
          </w:p>
        </w:tc>
        <w:tc>
          <w:tcPr>
            <w:tcW w:w="26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21C0864F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Ass. Progetto sulla Soglia </w:t>
            </w:r>
          </w:p>
        </w:tc>
        <w:tc>
          <w:tcPr>
            <w:tcW w:w="90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71ED467C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single" w:sz="4" w:space="0" w:color="70AD47"/>
              <w:left w:val="nil"/>
              <w:bottom w:val="nil"/>
              <w:right w:val="nil"/>
            </w:tcBorders>
          </w:tcPr>
          <w:p w14:paraId="36B5EF52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</w:tcPr>
          <w:p w14:paraId="7CAAE265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94347" w14:paraId="17281AD2" w14:textId="77777777">
        <w:trPr>
          <w:trHeight w:val="290"/>
        </w:trPr>
        <w:tc>
          <w:tcPr>
            <w:tcW w:w="13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</w:tcPr>
          <w:p w14:paraId="49005FCE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Veneto</w:t>
            </w:r>
          </w:p>
        </w:tc>
        <w:tc>
          <w:tcPr>
            <w:tcW w:w="2160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</w:tcPr>
          <w:p w14:paraId="2E683E00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VICENZA</w:t>
            </w:r>
          </w:p>
        </w:tc>
        <w:tc>
          <w:tcPr>
            <w:tcW w:w="2620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</w:tcPr>
          <w:p w14:paraId="701F4982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VICENZA </w:t>
            </w:r>
          </w:p>
        </w:tc>
        <w:tc>
          <w:tcPr>
            <w:tcW w:w="2620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</w:tcPr>
          <w:p w14:paraId="7B53F350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COSMO SCS</w:t>
            </w:r>
          </w:p>
        </w:tc>
        <w:tc>
          <w:tcPr>
            <w:tcW w:w="900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</w:tcPr>
          <w:p w14:paraId="5EAA4443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0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</w:tcPr>
          <w:p w14:paraId="4509B673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</w:tcPr>
          <w:p w14:paraId="20A93A23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14:paraId="7899B66A" w14:textId="77777777" w:rsidR="00894347" w:rsidRDefault="008943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3BF7EF54" w14:textId="77777777" w:rsidR="00894347" w:rsidRDefault="00EE74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EVENTUALI PARTICOLARI CONDIZIONI ED OBBLIGHI DI SERVIZIO ED ASPETTI ORGANIZZATIVI:</w:t>
      </w:r>
    </w:p>
    <w:p w14:paraId="31A535DE" w14:textId="77777777" w:rsidR="00894347" w:rsidRDefault="00EE74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 considerazione delle attività da svolgersi si chiede:</w:t>
      </w:r>
    </w:p>
    <w:p w14:paraId="2A106303" w14:textId="77777777" w:rsidR="00894347" w:rsidRDefault="00EE746B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Disponibilità a svolgere attività fuori sede</w:t>
      </w:r>
    </w:p>
    <w:p w14:paraId="51B32A01" w14:textId="77777777" w:rsidR="00894347" w:rsidRDefault="00EE746B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Disponibilità alla flessibilità oraria e all’eventuale turnazione.</w:t>
      </w:r>
    </w:p>
    <w:p w14:paraId="615F3FE1" w14:textId="77777777" w:rsidR="00894347" w:rsidRDefault="00EE746B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Disponibilità a svolgere servizio nei giorni di sabato e festivi.</w:t>
      </w:r>
    </w:p>
    <w:p w14:paraId="1E227A93" w14:textId="77777777" w:rsidR="00894347" w:rsidRDefault="00EE746B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Disponibilità a svolgere missioni anche in luoghi diversi dalla sede del servizio o fuori Regione.</w:t>
      </w:r>
    </w:p>
    <w:p w14:paraId="2BC51918" w14:textId="77777777" w:rsidR="00894347" w:rsidRDefault="00EE746B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Disponibilità alla guida</w:t>
      </w:r>
      <w:r>
        <w:rPr>
          <w:color w:val="000000"/>
          <w:sz w:val="20"/>
          <w:szCs w:val="20"/>
        </w:rPr>
        <w:t xml:space="preserve"> di autoveicoli messi a disposizione dell’Ente se in possesso di patente di tipo B.</w:t>
      </w:r>
    </w:p>
    <w:p w14:paraId="43607055" w14:textId="77777777" w:rsidR="00894347" w:rsidRDefault="00EE746B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Rispetto del regolamento interno dell’Ente.</w:t>
      </w:r>
    </w:p>
    <w:p w14:paraId="65C232B6" w14:textId="77777777" w:rsidR="00894347" w:rsidRDefault="00EE746B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Rispetto della privacy</w:t>
      </w:r>
      <w:r>
        <w:rPr>
          <w:b/>
          <w:color w:val="000000"/>
          <w:sz w:val="20"/>
          <w:szCs w:val="20"/>
        </w:rPr>
        <w:t>.</w:t>
      </w:r>
    </w:p>
    <w:p w14:paraId="6620550B" w14:textId="77777777" w:rsidR="00894347" w:rsidRDefault="008943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016B7A8A" w14:textId="77777777" w:rsidR="00894347" w:rsidRDefault="00EE74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2"/>
          <w:szCs w:val="22"/>
        </w:rPr>
        <w:t>Giorni di servizio settimanali ed orario</w:t>
      </w:r>
      <w:r>
        <w:rPr>
          <w:color w:val="000000"/>
          <w:sz w:val="20"/>
          <w:szCs w:val="20"/>
        </w:rPr>
        <w:t>: 25 ore settimanali da svolgere su 5 giorni a settimana per un</w:t>
      </w:r>
      <w:r>
        <w:rPr>
          <w:color w:val="000000"/>
          <w:sz w:val="20"/>
          <w:szCs w:val="20"/>
        </w:rPr>
        <w:t xml:space="preserve"> massimo di 5 ore al giorno.</w:t>
      </w:r>
    </w:p>
    <w:p w14:paraId="1348B70F" w14:textId="77777777" w:rsidR="00894347" w:rsidRDefault="008943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67A37365" w14:textId="77777777" w:rsidR="00894347" w:rsidRDefault="00EE74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EVENTUALI REQUISITI RICHIESTI: </w:t>
      </w:r>
    </w:p>
    <w:p w14:paraId="048ED0D6" w14:textId="77777777" w:rsidR="00894347" w:rsidRDefault="00EE74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Osservanza delle indicazioni e disposizioni sull’uso dei dispositivi di protezione individuali e delle norme di comportamento per la prevenzione del contagio del Covid19.</w:t>
      </w:r>
    </w:p>
    <w:p w14:paraId="75EE4328" w14:textId="77777777" w:rsidR="00894347" w:rsidRDefault="008943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5093562F" w14:textId="77777777" w:rsidR="00894347" w:rsidRDefault="00EE74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DESCRIZIONE DEI CRITERI DI SELEZIONE: </w:t>
      </w:r>
    </w:p>
    <w:p w14:paraId="3F5E1E45" w14:textId="77777777" w:rsidR="00894347" w:rsidRDefault="00EE74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Gli strumenti utilizzati per l’espletamento d</w:t>
      </w:r>
      <w:r>
        <w:rPr>
          <w:color w:val="000000"/>
          <w:sz w:val="20"/>
          <w:szCs w:val="20"/>
        </w:rPr>
        <w:t xml:space="preserve">elle procedure di selezione sono: </w:t>
      </w:r>
    </w:p>
    <w:p w14:paraId="18BC04B3" w14:textId="77777777" w:rsidR="00894347" w:rsidRDefault="00EE74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•</w:t>
      </w:r>
      <w:r>
        <w:rPr>
          <w:color w:val="000000"/>
          <w:sz w:val="20"/>
          <w:szCs w:val="20"/>
        </w:rPr>
        <w:tab/>
        <w:t>Valutazione documentale e dei titoli</w:t>
      </w:r>
    </w:p>
    <w:p w14:paraId="000D1362" w14:textId="77777777" w:rsidR="00894347" w:rsidRDefault="00EE74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•</w:t>
      </w:r>
      <w:r>
        <w:rPr>
          <w:color w:val="000000"/>
          <w:sz w:val="20"/>
          <w:szCs w:val="20"/>
        </w:rPr>
        <w:tab/>
        <w:t>Colloquio personale</w:t>
      </w:r>
    </w:p>
    <w:p w14:paraId="10AD4D9A" w14:textId="77777777" w:rsidR="00894347" w:rsidRDefault="00EE74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La valutazione documentale prevede l’attribuzione di punteggi ben definiti ed un insieme di variabili legate a titoli e documenti presentati dai candidati, in l</w:t>
      </w:r>
      <w:r>
        <w:rPr>
          <w:color w:val="000000"/>
          <w:sz w:val="20"/>
          <w:szCs w:val="20"/>
        </w:rPr>
        <w:t>inea con quanto previsto dall’apposita circolare del Dipartimento nazionale per il servizio civile universale.</w:t>
      </w:r>
    </w:p>
    <w:p w14:paraId="6386CCDC" w14:textId="77777777" w:rsidR="00894347" w:rsidRDefault="00EE74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Il punteggio massimo che un candidato può ottenere è pari a 110 punti, così ripartiti: </w:t>
      </w:r>
    </w:p>
    <w:p w14:paraId="456DF918" w14:textId="77777777" w:rsidR="00894347" w:rsidRDefault="00EE74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• scheda di valutazione: max 60 punti; </w:t>
      </w:r>
    </w:p>
    <w:p w14:paraId="26F9E7EF" w14:textId="77777777" w:rsidR="00894347" w:rsidRDefault="00EE74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• precedenti esperienze: max 30 punti; </w:t>
      </w:r>
    </w:p>
    <w:p w14:paraId="5C4389F9" w14:textId="77777777" w:rsidR="00894347" w:rsidRDefault="00EE74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• titoli di studio, professionali, esperienze aggiuntive non valutate in precedenza e altre conoscenze: max 20 punti</w:t>
      </w:r>
    </w:p>
    <w:p w14:paraId="2611009B" w14:textId="77777777" w:rsidR="00894347" w:rsidRDefault="00EE74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La soglia minima per l’idoneità è di 60/100 al </w:t>
      </w:r>
      <w:proofErr w:type="gramStart"/>
      <w:r>
        <w:rPr>
          <w:color w:val="000000"/>
          <w:sz w:val="20"/>
          <w:szCs w:val="20"/>
        </w:rPr>
        <w:t>colloquio, dunque</w:t>
      </w:r>
      <w:proofErr w:type="gramEnd"/>
      <w:r>
        <w:rPr>
          <w:color w:val="000000"/>
          <w:sz w:val="20"/>
          <w:szCs w:val="20"/>
        </w:rPr>
        <w:t xml:space="preserve"> un punteggio inferiore corrisponde</w:t>
      </w:r>
      <w:r>
        <w:rPr>
          <w:color w:val="000000"/>
          <w:sz w:val="20"/>
          <w:szCs w:val="20"/>
        </w:rPr>
        <w:t xml:space="preserve"> alla non idoneità al progetto.</w:t>
      </w:r>
    </w:p>
    <w:p w14:paraId="75510A67" w14:textId="77777777" w:rsidR="00894347" w:rsidRDefault="00EE74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Le selezioni vengono svolte nelle sedi degli enti accreditati presso cui i volontari intendono svolgere il servizio civile. La selezione viene fatta da un selettore accreditato. Oltre al selettore possono essere presenti alt</w:t>
      </w:r>
      <w:r>
        <w:rPr>
          <w:color w:val="000000"/>
          <w:sz w:val="20"/>
          <w:szCs w:val="20"/>
        </w:rPr>
        <w:t>re figure come l’operatore locale di progetto, il coordinatore del servizio, il responsabile per il servizio civile dell’ente.</w:t>
      </w:r>
    </w:p>
    <w:p w14:paraId="4109184A" w14:textId="77777777" w:rsidR="00894347" w:rsidRDefault="008943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14F5A6ED" w14:textId="77777777" w:rsidR="00894347" w:rsidRDefault="008943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2F1195FC" w14:textId="77777777" w:rsidR="00894347" w:rsidRDefault="00EE74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CARATTERISTICHE COMPETENZE ACQUISIBILI:</w:t>
      </w:r>
    </w:p>
    <w:p w14:paraId="50B3ADC0" w14:textId="77777777" w:rsidR="00894347" w:rsidRDefault="00EE74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Attestazione/certificazione delle competenze in relazione alle attività svolte durante </w:t>
      </w:r>
      <w:r>
        <w:rPr>
          <w:color w:val="000000"/>
          <w:sz w:val="20"/>
          <w:szCs w:val="20"/>
        </w:rPr>
        <w:t>l’espletamento del servizio. Tale certificazione sarà rilasciata da soggetti titolati ai sensi e per gli effetti del D.L.G.S. n. 13/2013, previo superamento di apposito esame.</w:t>
      </w:r>
    </w:p>
    <w:p w14:paraId="181D8A5A" w14:textId="77777777" w:rsidR="00894347" w:rsidRDefault="008943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rPr>
          <w:color w:val="000000"/>
          <w:sz w:val="10"/>
          <w:szCs w:val="10"/>
        </w:rPr>
      </w:pPr>
    </w:p>
    <w:p w14:paraId="40514BE1" w14:textId="77777777" w:rsidR="00894347" w:rsidRDefault="008943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09D8BE86" w14:textId="77777777" w:rsidR="00894347" w:rsidRDefault="00EE74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FORMAZIONE GENERALE DEGLI OPERATORI VOLONTARI:</w:t>
      </w:r>
    </w:p>
    <w:p w14:paraId="5B11CE9B" w14:textId="77777777" w:rsidR="00894347" w:rsidRDefault="00EE74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Sono previste 30 ore di formazione generale da realizzarsi entro 180 giorni dall’avvio del progetto. </w:t>
      </w:r>
      <w:r>
        <w:rPr>
          <w:color w:val="000000"/>
          <w:sz w:val="20"/>
          <w:szCs w:val="20"/>
        </w:rPr>
        <w:br/>
        <w:t xml:space="preserve">Il percorso formativo comprenderà i seguenti moduli: </w:t>
      </w:r>
    </w:p>
    <w:p w14:paraId="552FE56D" w14:textId="77777777" w:rsidR="00894347" w:rsidRDefault="00EE74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1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“Identità del gruppo e patto formativo”</w:t>
      </w:r>
    </w:p>
    <w:p w14:paraId="29816DA0" w14:textId="77777777" w:rsidR="00894347" w:rsidRDefault="00EE74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1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“Presentazio</w:t>
      </w:r>
      <w:r>
        <w:rPr>
          <w:color w:val="000000"/>
          <w:sz w:val="20"/>
          <w:szCs w:val="20"/>
        </w:rPr>
        <w:t>ne dell’ente”</w:t>
      </w:r>
    </w:p>
    <w:p w14:paraId="65576399" w14:textId="77777777" w:rsidR="00894347" w:rsidRDefault="00EE74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1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“Dall’obiezione di coscienza al SCU”</w:t>
      </w:r>
    </w:p>
    <w:p w14:paraId="6494C191" w14:textId="77777777" w:rsidR="00894347" w:rsidRDefault="00EE74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1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“Il dovere di difesa della patria”</w:t>
      </w:r>
    </w:p>
    <w:p w14:paraId="39D2C17A" w14:textId="77777777" w:rsidR="00894347" w:rsidRDefault="00EE74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1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“Formazione civica”</w:t>
      </w:r>
    </w:p>
    <w:p w14:paraId="65552B14" w14:textId="77777777" w:rsidR="00894347" w:rsidRDefault="00EE74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1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“Le forme di cittadinanza”</w:t>
      </w:r>
    </w:p>
    <w:p w14:paraId="0F627C3B" w14:textId="77777777" w:rsidR="00894347" w:rsidRDefault="00EE74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1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“Normativa vigente e carta etica”</w:t>
      </w:r>
    </w:p>
    <w:p w14:paraId="50448E5E" w14:textId="77777777" w:rsidR="00894347" w:rsidRDefault="00EE74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1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“Disciplina dei rapporti enti-volontari”</w:t>
      </w:r>
    </w:p>
    <w:p w14:paraId="7116890F" w14:textId="77777777" w:rsidR="00894347" w:rsidRDefault="00EE74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1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“L’organizzazione del SCU e le sue figure”</w:t>
      </w:r>
    </w:p>
    <w:p w14:paraId="0894E749" w14:textId="77777777" w:rsidR="00894347" w:rsidRDefault="00EE74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1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“Protezione civile”</w:t>
      </w:r>
    </w:p>
    <w:p w14:paraId="53797F1C" w14:textId="77777777" w:rsidR="00894347" w:rsidRDefault="00EE74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1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“Il lavoro per progetti”</w:t>
      </w:r>
    </w:p>
    <w:p w14:paraId="770E39B9" w14:textId="77777777" w:rsidR="00894347" w:rsidRDefault="00EE74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1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0" w:hanging="2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“La rappresentanza dei volontari del SCU”</w:t>
      </w:r>
    </w:p>
    <w:p w14:paraId="77C96544" w14:textId="77777777" w:rsidR="00894347" w:rsidRDefault="00EE74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1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0" w:hanging="2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“Comunicazione e gestione dei conflitti”</w:t>
      </w:r>
    </w:p>
    <w:p w14:paraId="043ED3AC" w14:textId="77777777" w:rsidR="00894347" w:rsidRDefault="008943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794B2B99" w14:textId="77777777" w:rsidR="00894347" w:rsidRDefault="008943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53D47CAD" w14:textId="77777777" w:rsidR="00894347" w:rsidRDefault="00EE74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FORMAZIONE SPECIFICA DEGLI OPERATORI VOLONTARI:</w:t>
      </w:r>
    </w:p>
    <w:p w14:paraId="19BFC880" w14:textId="77777777" w:rsidR="00894347" w:rsidRDefault="00EE74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Sono previste 72 ore di formazione specifica da svolgersi entro 90 giorni dall’avvio del servizio civile.</w:t>
      </w:r>
    </w:p>
    <w:p w14:paraId="6D7B8D32" w14:textId="77777777" w:rsidR="00894347" w:rsidRDefault="00EE74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Vengono affrontati </w:t>
      </w:r>
      <w:proofErr w:type="gramStart"/>
      <w:r>
        <w:rPr>
          <w:color w:val="000000"/>
          <w:sz w:val="20"/>
          <w:szCs w:val="20"/>
        </w:rPr>
        <w:t>10</w:t>
      </w:r>
      <w:proofErr w:type="gramEnd"/>
      <w:r>
        <w:rPr>
          <w:color w:val="000000"/>
          <w:sz w:val="20"/>
          <w:szCs w:val="20"/>
        </w:rPr>
        <w:t xml:space="preserve"> differenti moduli con lezioni frontali e modalità di lavoro attive. </w:t>
      </w:r>
    </w:p>
    <w:p w14:paraId="37E4A7EF" w14:textId="77777777" w:rsidR="00894347" w:rsidRDefault="00EE74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Di seguito </w:t>
      </w:r>
      <w:r>
        <w:rPr>
          <w:color w:val="000000"/>
          <w:sz w:val="20"/>
          <w:szCs w:val="20"/>
        </w:rPr>
        <w:t>i moduli e il numero di ore ad essi dedicati.</w:t>
      </w:r>
    </w:p>
    <w:tbl>
      <w:tblPr>
        <w:tblStyle w:val="a2"/>
        <w:tblW w:w="9623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2846"/>
        <w:gridCol w:w="993"/>
        <w:gridCol w:w="5096"/>
      </w:tblGrid>
      <w:tr w:rsidR="00894347" w14:paraId="57009F9D" w14:textId="77777777">
        <w:tc>
          <w:tcPr>
            <w:tcW w:w="688" w:type="dxa"/>
            <w:tcBorders>
              <w:right w:val="single" w:sz="4" w:space="0" w:color="000000"/>
            </w:tcBorders>
            <w:shd w:val="clear" w:color="auto" w:fill="F2F2F2"/>
          </w:tcPr>
          <w:p w14:paraId="5A0B3D89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846" w:type="dxa"/>
            <w:tcBorders>
              <w:right w:val="single" w:sz="4" w:space="0" w:color="000000"/>
            </w:tcBorders>
            <w:shd w:val="clear" w:color="auto" w:fill="F2F2F2"/>
          </w:tcPr>
          <w:p w14:paraId="7C449612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Titoli moduli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F2F2F2"/>
          </w:tcPr>
          <w:p w14:paraId="6E3E208E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Ore</w:t>
            </w:r>
          </w:p>
        </w:tc>
        <w:tc>
          <w:tcPr>
            <w:tcW w:w="5096" w:type="dxa"/>
            <w:tcBorders>
              <w:right w:val="single" w:sz="4" w:space="0" w:color="000000"/>
            </w:tcBorders>
            <w:shd w:val="clear" w:color="auto" w:fill="F2F2F2"/>
          </w:tcPr>
          <w:p w14:paraId="6073D6B4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AZIONE PROGETTUALE CORRISPONDENTE</w:t>
            </w:r>
          </w:p>
        </w:tc>
      </w:tr>
      <w:tr w:rsidR="00894347" w14:paraId="0B6B8BEB" w14:textId="7777777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DF83D46" w14:textId="77777777" w:rsidR="00894347" w:rsidRDefault="00894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  <w:p w14:paraId="47538E35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B8350AE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L’ORGANIZZAZIONE DEI SERVIZI EDUCATIVI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7BB23B7" w14:textId="77777777" w:rsidR="00894347" w:rsidRDefault="00894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  <w:p w14:paraId="5155EABD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81B2488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Networking, logistica e pianificazione dei nuovi servizi e attività</w:t>
            </w:r>
          </w:p>
          <w:p w14:paraId="7455675F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Comunicazione e pubblicizzazione della nuova programmazione dei servizi</w:t>
            </w:r>
          </w:p>
        </w:tc>
      </w:tr>
      <w:tr w:rsidR="00894347" w14:paraId="1B3F9F86" w14:textId="77777777">
        <w:tc>
          <w:tcPr>
            <w:tcW w:w="688" w:type="dxa"/>
            <w:tcBorders>
              <w:right w:val="single" w:sz="4" w:space="0" w:color="000000"/>
            </w:tcBorders>
          </w:tcPr>
          <w:p w14:paraId="37E37922" w14:textId="77777777" w:rsidR="00894347" w:rsidRDefault="00894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  <w:p w14:paraId="2CAAE11F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6" w:type="dxa"/>
            <w:tcBorders>
              <w:right w:val="single" w:sz="4" w:space="0" w:color="000000"/>
            </w:tcBorders>
            <w:vAlign w:val="center"/>
          </w:tcPr>
          <w:p w14:paraId="328B3EF3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 CONOSCENZA DEL TERRITORIO E IL LAVORO DI RETE NEI PROGETTI EDUCATIVI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14:paraId="22FABE34" w14:textId="77777777" w:rsidR="00894347" w:rsidRDefault="00894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  <w:p w14:paraId="085FA723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6" w:type="dxa"/>
            <w:tcBorders>
              <w:right w:val="single" w:sz="4" w:space="0" w:color="000000"/>
            </w:tcBorders>
          </w:tcPr>
          <w:p w14:paraId="589B9FD0" w14:textId="77777777" w:rsidR="00894347" w:rsidRDefault="00894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14:paraId="654ECDF2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Implementazione attività operative</w:t>
            </w:r>
          </w:p>
        </w:tc>
      </w:tr>
      <w:tr w:rsidR="00894347" w14:paraId="5A98D0FA" w14:textId="7777777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2D78CA7" w14:textId="77777777" w:rsidR="00894347" w:rsidRDefault="00894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  <w:p w14:paraId="523BCC9E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B259D3E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 NORMATIVE DI RIFERIMENTO DEI PROGETTI EDUCATIVI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D0E372D" w14:textId="77777777" w:rsidR="00894347" w:rsidRDefault="00894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  <w:p w14:paraId="3567A984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4DF0391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Modellizzazione operativa e diffusione in ambito delle metodologie di coprogettazione pubblico privato;</w:t>
            </w:r>
          </w:p>
        </w:tc>
      </w:tr>
      <w:tr w:rsidR="00894347" w14:paraId="6601B8C9" w14:textId="7777777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395F7F7" w14:textId="77777777" w:rsidR="00894347" w:rsidRDefault="00894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  <w:p w14:paraId="1B567CD9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0005A8F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IL LAVORO DI GRUPPO NEI SERVIZI SOCIALI, COMPETENZE E PROCESSI E RUOLI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89F15F7" w14:textId="77777777" w:rsidR="00894347" w:rsidRDefault="00894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  <w:p w14:paraId="5A1A5B6D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032555D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Implementazione attività operative</w:t>
            </w:r>
          </w:p>
        </w:tc>
      </w:tr>
      <w:tr w:rsidR="00894347" w14:paraId="26DB3604" w14:textId="7777777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B1AD55A" w14:textId="77777777" w:rsidR="00894347" w:rsidRDefault="00894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  <w:p w14:paraId="7F77D1D5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2B9C733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 DOMANDA SOCIALE DI EDUCAZIONE E I BISOGNI DEI MINORI AL TEMPO DEL COVID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C1BBBE2" w14:textId="77777777" w:rsidR="00894347" w:rsidRDefault="00894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  <w:p w14:paraId="6F038419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4EF995B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Valutazione di impatto e restituzione formativa;</w:t>
            </w:r>
          </w:p>
        </w:tc>
      </w:tr>
      <w:tr w:rsidR="00894347" w14:paraId="1893C826" w14:textId="7777777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2B3F7F7" w14:textId="77777777" w:rsidR="00894347" w:rsidRDefault="00894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  <w:p w14:paraId="0D3CA7A2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AF7B0B7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 RESILIENZA COME RISORSA NELLO SVILUPPO E NELL’EDUCAZIONE DEL BAMBINO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B434588" w14:textId="77777777" w:rsidR="00894347" w:rsidRDefault="00894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  <w:p w14:paraId="1ECF3F5C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FBE74CE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Implementazione attività operative</w:t>
            </w:r>
          </w:p>
        </w:tc>
      </w:tr>
      <w:tr w:rsidR="00894347" w14:paraId="0557D39B" w14:textId="7777777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8720DF4" w14:textId="77777777" w:rsidR="00894347" w:rsidRDefault="00894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  <w:p w14:paraId="4A8E33AA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C60DB7F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PROGETTARE INTERVENTI EDUCATIVI CON I MINORI, STRUMENTI, </w:t>
            </w:r>
            <w:r>
              <w:rPr>
                <w:color w:val="000000"/>
                <w:sz w:val="20"/>
                <w:szCs w:val="20"/>
              </w:rPr>
              <w:lastRenderedPageBreak/>
              <w:t>METODOLOGIE E RIFERIMENTI TEORICI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D16FB4" w14:textId="77777777" w:rsidR="00894347" w:rsidRDefault="00894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  <w:p w14:paraId="0FB71AB2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E87CB05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Implementazione spazio di confronto e condivisione online</w:t>
            </w:r>
          </w:p>
          <w:p w14:paraId="3A846D09" w14:textId="77777777" w:rsidR="00894347" w:rsidRDefault="00894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64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94347" w14:paraId="3C7F85D1" w14:textId="7777777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55D92EA" w14:textId="77777777" w:rsidR="00894347" w:rsidRDefault="00894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  <w:p w14:paraId="41D9D7ED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D3D6C6C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FORMAZIONE E INFORMAZIONE SUI RISCHI CONNESSI ALL’IMPIEGO DEI VOLONTARI IN PROGETTI DI SERVIZIO CIVILE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8755676" w14:textId="77777777" w:rsidR="00894347" w:rsidRDefault="00894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  <w:p w14:paraId="68829D92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5E3C66C" w14:textId="77777777" w:rsidR="00894347" w:rsidRDefault="00894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14:paraId="3E401C03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Modulo obbligatorio</w:t>
            </w:r>
          </w:p>
        </w:tc>
      </w:tr>
    </w:tbl>
    <w:p w14:paraId="033D7DE5" w14:textId="77777777" w:rsidR="00894347" w:rsidRDefault="008943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14:paraId="69135AEF" w14:textId="77777777" w:rsidR="00894347" w:rsidRDefault="008943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26946B21" w14:textId="77777777" w:rsidR="00894347" w:rsidRDefault="00EE74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PARTECIPAZIONE DI GIOVANI CON MINORI OPPORTUNITA’ </w:t>
      </w:r>
    </w:p>
    <w:p w14:paraId="26DE9579" w14:textId="77777777" w:rsidR="00894347" w:rsidRDefault="008943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44191D8C" w14:textId="77777777" w:rsidR="00894347" w:rsidRDefault="00EE74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20"/>
          <w:szCs w:val="20"/>
        </w:rPr>
        <w:t>🡪</w:t>
      </w:r>
      <w:r>
        <w:rPr>
          <w:b/>
          <w:color w:val="000000"/>
          <w:sz w:val="20"/>
          <w:szCs w:val="20"/>
        </w:rPr>
        <w:t xml:space="preserve">Numero posti riservati per giovani con minori opportunità (requisito dichiarazione ISEE inferiore a 15000 </w:t>
      </w:r>
      <w:proofErr w:type="gramStart"/>
      <w:r>
        <w:rPr>
          <w:b/>
          <w:color w:val="000000"/>
          <w:sz w:val="20"/>
          <w:szCs w:val="20"/>
        </w:rPr>
        <w:t>Euro</w:t>
      </w:r>
      <w:proofErr w:type="gramEnd"/>
      <w:r>
        <w:rPr>
          <w:b/>
          <w:color w:val="000000"/>
          <w:sz w:val="20"/>
          <w:szCs w:val="20"/>
        </w:rPr>
        <w:t xml:space="preserve">) </w:t>
      </w:r>
      <w:r>
        <w:rPr>
          <w:color w:val="000000"/>
          <w:sz w:val="20"/>
          <w:szCs w:val="20"/>
        </w:rPr>
        <w:t>13, 1 per sede:</w:t>
      </w:r>
    </w:p>
    <w:tbl>
      <w:tblPr>
        <w:tblStyle w:val="a3"/>
        <w:tblW w:w="960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3267"/>
        <w:gridCol w:w="3250"/>
      </w:tblGrid>
      <w:tr w:rsidR="00894347" w14:paraId="35334EF0" w14:textId="77777777">
        <w:trPr>
          <w:trHeight w:val="292"/>
        </w:trPr>
        <w:tc>
          <w:tcPr>
            <w:tcW w:w="3084" w:type="dxa"/>
          </w:tcPr>
          <w:p w14:paraId="128F4E7E" w14:textId="77777777" w:rsidR="00894347" w:rsidRDefault="00EE746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Ente</w:t>
            </w:r>
          </w:p>
        </w:tc>
        <w:tc>
          <w:tcPr>
            <w:tcW w:w="3267" w:type="dxa"/>
          </w:tcPr>
          <w:p w14:paraId="1EC2E7F4" w14:textId="77777777" w:rsidR="00894347" w:rsidRDefault="00EE746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Indirizzo</w:t>
            </w:r>
          </w:p>
        </w:tc>
        <w:tc>
          <w:tcPr>
            <w:tcW w:w="3250" w:type="dxa"/>
          </w:tcPr>
          <w:p w14:paraId="36494D9D" w14:textId="77777777" w:rsidR="00894347" w:rsidRDefault="00EE746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Comune</w:t>
            </w:r>
          </w:p>
        </w:tc>
      </w:tr>
      <w:tr w:rsidR="00894347" w14:paraId="1CAEFAB4" w14:textId="77777777">
        <w:trPr>
          <w:trHeight w:val="292"/>
        </w:trPr>
        <w:tc>
          <w:tcPr>
            <w:tcW w:w="3084" w:type="dxa"/>
          </w:tcPr>
          <w:p w14:paraId="0C680AEF" w14:textId="77777777" w:rsidR="00894347" w:rsidRDefault="00EE746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Centro Acc.za Padre Nostro ETS</w:t>
            </w:r>
          </w:p>
        </w:tc>
        <w:tc>
          <w:tcPr>
            <w:tcW w:w="3267" w:type="dxa"/>
          </w:tcPr>
          <w:p w14:paraId="0E7819B7" w14:textId="77777777" w:rsidR="00894347" w:rsidRDefault="00EE746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Via San Ciro 23</w:t>
            </w:r>
          </w:p>
        </w:tc>
        <w:tc>
          <w:tcPr>
            <w:tcW w:w="3250" w:type="dxa"/>
          </w:tcPr>
          <w:p w14:paraId="307F3F5F" w14:textId="77777777" w:rsidR="00894347" w:rsidRDefault="00EE746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PALERMO </w:t>
            </w:r>
          </w:p>
        </w:tc>
      </w:tr>
      <w:tr w:rsidR="00894347" w14:paraId="31131BB0" w14:textId="77777777">
        <w:trPr>
          <w:trHeight w:val="292"/>
        </w:trPr>
        <w:tc>
          <w:tcPr>
            <w:tcW w:w="3084" w:type="dxa"/>
          </w:tcPr>
          <w:p w14:paraId="7FD48109" w14:textId="77777777" w:rsidR="00894347" w:rsidRDefault="00EE746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AMA AQUILONE</w:t>
            </w:r>
          </w:p>
        </w:tc>
        <w:tc>
          <w:tcPr>
            <w:tcW w:w="3267" w:type="dxa"/>
          </w:tcPr>
          <w:p w14:paraId="16673893" w14:textId="77777777" w:rsidR="00894347" w:rsidRDefault="00EE746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VIA NAVICELLA 148</w:t>
            </w:r>
          </w:p>
        </w:tc>
        <w:tc>
          <w:tcPr>
            <w:tcW w:w="3250" w:type="dxa"/>
          </w:tcPr>
          <w:p w14:paraId="10F20E16" w14:textId="77777777" w:rsidR="00894347" w:rsidRDefault="00EE746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ASCOLI PICENO </w:t>
            </w:r>
          </w:p>
        </w:tc>
      </w:tr>
      <w:tr w:rsidR="00894347" w14:paraId="2FB1F14B" w14:textId="77777777">
        <w:trPr>
          <w:trHeight w:val="292"/>
        </w:trPr>
        <w:tc>
          <w:tcPr>
            <w:tcW w:w="3084" w:type="dxa"/>
          </w:tcPr>
          <w:p w14:paraId="451A0388" w14:textId="77777777" w:rsidR="00894347" w:rsidRDefault="00EE746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COOPERATIVA SOCIALE </w:t>
            </w:r>
          </w:p>
        </w:tc>
        <w:tc>
          <w:tcPr>
            <w:tcW w:w="3267" w:type="dxa"/>
          </w:tcPr>
          <w:p w14:paraId="12065505" w14:textId="77777777" w:rsidR="00894347" w:rsidRDefault="00EE746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VIA NATALE LOIACONO 7</w:t>
            </w:r>
          </w:p>
        </w:tc>
        <w:tc>
          <w:tcPr>
            <w:tcW w:w="3250" w:type="dxa"/>
          </w:tcPr>
          <w:p w14:paraId="17F867C7" w14:textId="77777777" w:rsidR="00894347" w:rsidRDefault="00EE746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BARI </w:t>
            </w:r>
          </w:p>
        </w:tc>
      </w:tr>
      <w:tr w:rsidR="00894347" w14:paraId="49FF061D" w14:textId="77777777">
        <w:trPr>
          <w:trHeight w:val="292"/>
        </w:trPr>
        <w:tc>
          <w:tcPr>
            <w:tcW w:w="3084" w:type="dxa"/>
          </w:tcPr>
          <w:p w14:paraId="5882A655" w14:textId="77777777" w:rsidR="00894347" w:rsidRDefault="00EE746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COSMO SCS</w:t>
            </w:r>
          </w:p>
        </w:tc>
        <w:tc>
          <w:tcPr>
            <w:tcW w:w="3267" w:type="dxa"/>
          </w:tcPr>
          <w:p w14:paraId="2733EDC9" w14:textId="77777777" w:rsidR="00894347" w:rsidRDefault="00EE746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Via Giacomo Puccini 22</w:t>
            </w:r>
          </w:p>
        </w:tc>
        <w:tc>
          <w:tcPr>
            <w:tcW w:w="3250" w:type="dxa"/>
          </w:tcPr>
          <w:p w14:paraId="0E3608DF" w14:textId="77777777" w:rsidR="00894347" w:rsidRDefault="00EE746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VICENZA </w:t>
            </w:r>
          </w:p>
        </w:tc>
      </w:tr>
      <w:tr w:rsidR="00894347" w14:paraId="4A20B0E7" w14:textId="77777777">
        <w:trPr>
          <w:trHeight w:val="292"/>
        </w:trPr>
        <w:tc>
          <w:tcPr>
            <w:tcW w:w="3084" w:type="dxa"/>
          </w:tcPr>
          <w:p w14:paraId="579A5BBA" w14:textId="77777777" w:rsidR="00894347" w:rsidRDefault="00EE746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FONDAZIONE SOMASCHI </w:t>
            </w:r>
          </w:p>
        </w:tc>
        <w:tc>
          <w:tcPr>
            <w:tcW w:w="3267" w:type="dxa"/>
          </w:tcPr>
          <w:p w14:paraId="57BDDC90" w14:textId="77777777" w:rsidR="00894347" w:rsidRDefault="00EE746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VIA DEI SOMASCHI 12</w:t>
            </w:r>
          </w:p>
        </w:tc>
        <w:tc>
          <w:tcPr>
            <w:tcW w:w="3250" w:type="dxa"/>
          </w:tcPr>
          <w:p w14:paraId="29C37308" w14:textId="77777777" w:rsidR="00894347" w:rsidRDefault="00EE746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ELMAS </w:t>
            </w:r>
          </w:p>
        </w:tc>
      </w:tr>
      <w:tr w:rsidR="00894347" w14:paraId="0F8BD40D" w14:textId="77777777">
        <w:trPr>
          <w:trHeight w:val="292"/>
        </w:trPr>
        <w:tc>
          <w:tcPr>
            <w:tcW w:w="3084" w:type="dxa"/>
          </w:tcPr>
          <w:p w14:paraId="632F7431" w14:textId="77777777" w:rsidR="00894347" w:rsidRDefault="00EE746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FONDAZIONE SOMASCHI </w:t>
            </w:r>
          </w:p>
        </w:tc>
        <w:tc>
          <w:tcPr>
            <w:tcW w:w="3267" w:type="dxa"/>
          </w:tcPr>
          <w:p w14:paraId="2E8979AF" w14:textId="77777777" w:rsidR="00894347" w:rsidRDefault="00EE746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VIA S. GIROLAMO EMILIANI 26</w:t>
            </w:r>
          </w:p>
        </w:tc>
        <w:tc>
          <w:tcPr>
            <w:tcW w:w="3250" w:type="dxa"/>
          </w:tcPr>
          <w:p w14:paraId="6B0DE80B" w14:textId="77777777" w:rsidR="00894347" w:rsidRDefault="00EE746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RAPALLO </w:t>
            </w:r>
          </w:p>
        </w:tc>
      </w:tr>
      <w:tr w:rsidR="00894347" w14:paraId="439B66F7" w14:textId="77777777">
        <w:trPr>
          <w:trHeight w:val="292"/>
        </w:trPr>
        <w:tc>
          <w:tcPr>
            <w:tcW w:w="3084" w:type="dxa"/>
          </w:tcPr>
          <w:p w14:paraId="0252B97D" w14:textId="77777777" w:rsidR="00894347" w:rsidRDefault="00EE746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FONDAZIONE SOMASCHI </w:t>
            </w:r>
          </w:p>
        </w:tc>
        <w:tc>
          <w:tcPr>
            <w:tcW w:w="3267" w:type="dxa"/>
          </w:tcPr>
          <w:p w14:paraId="3AA29DD1" w14:textId="77777777" w:rsidR="00894347" w:rsidRDefault="00EE746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VIA PAPA GIOVANNI XXIII 2</w:t>
            </w:r>
          </w:p>
        </w:tc>
        <w:tc>
          <w:tcPr>
            <w:tcW w:w="3250" w:type="dxa"/>
          </w:tcPr>
          <w:p w14:paraId="0B8D379E" w14:textId="77777777" w:rsidR="00894347" w:rsidRDefault="00EE746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VERCURAGO </w:t>
            </w:r>
          </w:p>
        </w:tc>
      </w:tr>
      <w:tr w:rsidR="00894347" w14:paraId="151DF330" w14:textId="77777777">
        <w:trPr>
          <w:trHeight w:val="292"/>
        </w:trPr>
        <w:tc>
          <w:tcPr>
            <w:tcW w:w="3084" w:type="dxa"/>
          </w:tcPr>
          <w:p w14:paraId="3BC9DEE8" w14:textId="77777777" w:rsidR="00894347" w:rsidRDefault="00EE746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IRENE '95 COOP.</w:t>
            </w:r>
          </w:p>
        </w:tc>
        <w:tc>
          <w:tcPr>
            <w:tcW w:w="3267" w:type="dxa"/>
          </w:tcPr>
          <w:p w14:paraId="4A794791" w14:textId="77777777" w:rsidR="00894347" w:rsidRDefault="00EE746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CORSO CAMPANO 94</w:t>
            </w:r>
          </w:p>
        </w:tc>
        <w:tc>
          <w:tcPr>
            <w:tcW w:w="3250" w:type="dxa"/>
          </w:tcPr>
          <w:p w14:paraId="29BB64FC" w14:textId="77777777" w:rsidR="00894347" w:rsidRDefault="00EE746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MARIGLIANO </w:t>
            </w:r>
          </w:p>
        </w:tc>
      </w:tr>
      <w:tr w:rsidR="00894347" w14:paraId="2ED96661" w14:textId="77777777">
        <w:trPr>
          <w:trHeight w:val="292"/>
        </w:trPr>
        <w:tc>
          <w:tcPr>
            <w:tcW w:w="3084" w:type="dxa"/>
          </w:tcPr>
          <w:p w14:paraId="39073189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IRENE '95 COOP.</w:t>
            </w:r>
          </w:p>
        </w:tc>
        <w:tc>
          <w:tcPr>
            <w:tcW w:w="3267" w:type="dxa"/>
          </w:tcPr>
          <w:p w14:paraId="640417FA" w14:textId="77777777" w:rsidR="00894347" w:rsidRDefault="00EE746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CORSO CAMPANO 94</w:t>
            </w:r>
          </w:p>
        </w:tc>
        <w:tc>
          <w:tcPr>
            <w:tcW w:w="3250" w:type="dxa"/>
          </w:tcPr>
          <w:p w14:paraId="0C18CF67" w14:textId="77777777" w:rsidR="00894347" w:rsidRDefault="00EE746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MARIGLIANO </w:t>
            </w:r>
          </w:p>
        </w:tc>
      </w:tr>
      <w:tr w:rsidR="00894347" w14:paraId="2AABA6D6" w14:textId="77777777">
        <w:trPr>
          <w:trHeight w:val="292"/>
        </w:trPr>
        <w:tc>
          <w:tcPr>
            <w:tcW w:w="3084" w:type="dxa"/>
          </w:tcPr>
          <w:p w14:paraId="65396769" w14:textId="77777777" w:rsidR="00894347" w:rsidRDefault="00EE7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IRENE '95 COOP.</w:t>
            </w:r>
          </w:p>
        </w:tc>
        <w:tc>
          <w:tcPr>
            <w:tcW w:w="3267" w:type="dxa"/>
          </w:tcPr>
          <w:p w14:paraId="66410E9E" w14:textId="77777777" w:rsidR="00894347" w:rsidRDefault="00EE746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CORSO CAMPANO 94</w:t>
            </w:r>
          </w:p>
        </w:tc>
        <w:tc>
          <w:tcPr>
            <w:tcW w:w="3250" w:type="dxa"/>
          </w:tcPr>
          <w:p w14:paraId="68DABDAE" w14:textId="77777777" w:rsidR="00894347" w:rsidRDefault="00EE746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MARIGLIANO </w:t>
            </w:r>
          </w:p>
        </w:tc>
      </w:tr>
      <w:tr w:rsidR="00894347" w14:paraId="4CA57CF7" w14:textId="77777777">
        <w:trPr>
          <w:trHeight w:val="292"/>
        </w:trPr>
        <w:tc>
          <w:tcPr>
            <w:tcW w:w="3084" w:type="dxa"/>
          </w:tcPr>
          <w:p w14:paraId="162C256E" w14:textId="77777777" w:rsidR="00894347" w:rsidRDefault="00EE746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OPEN GROUP</w:t>
            </w:r>
          </w:p>
        </w:tc>
        <w:tc>
          <w:tcPr>
            <w:tcW w:w="3267" w:type="dxa"/>
          </w:tcPr>
          <w:p w14:paraId="36A49D97" w14:textId="77777777" w:rsidR="00894347" w:rsidRDefault="00EE746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VIA SCANDELLARA 11/10</w:t>
            </w:r>
          </w:p>
        </w:tc>
        <w:tc>
          <w:tcPr>
            <w:tcW w:w="3250" w:type="dxa"/>
          </w:tcPr>
          <w:p w14:paraId="643E7F46" w14:textId="77777777" w:rsidR="00894347" w:rsidRDefault="00EE746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BOLOGNA </w:t>
            </w:r>
          </w:p>
        </w:tc>
      </w:tr>
      <w:tr w:rsidR="00894347" w14:paraId="195D2D51" w14:textId="77777777">
        <w:trPr>
          <w:trHeight w:val="292"/>
        </w:trPr>
        <w:tc>
          <w:tcPr>
            <w:tcW w:w="3084" w:type="dxa"/>
          </w:tcPr>
          <w:p w14:paraId="03B7F616" w14:textId="77777777" w:rsidR="00894347" w:rsidRDefault="00EE746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PROSPETTIVA ONLUS</w:t>
            </w:r>
          </w:p>
        </w:tc>
        <w:tc>
          <w:tcPr>
            <w:tcW w:w="3267" w:type="dxa"/>
          </w:tcPr>
          <w:p w14:paraId="4368621D" w14:textId="77777777" w:rsidR="00894347" w:rsidRDefault="00EE746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VIA GROTTA SAN GIOVANNI 51</w:t>
            </w:r>
          </w:p>
        </w:tc>
        <w:tc>
          <w:tcPr>
            <w:tcW w:w="3250" w:type="dxa"/>
          </w:tcPr>
          <w:p w14:paraId="1688CE40" w14:textId="77777777" w:rsidR="00894347" w:rsidRDefault="00EE746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CATANIA </w:t>
            </w:r>
          </w:p>
        </w:tc>
      </w:tr>
      <w:tr w:rsidR="00894347" w14:paraId="0B54328B" w14:textId="77777777">
        <w:trPr>
          <w:trHeight w:val="292"/>
        </w:trPr>
        <w:tc>
          <w:tcPr>
            <w:tcW w:w="3084" w:type="dxa"/>
          </w:tcPr>
          <w:p w14:paraId="26A03B84" w14:textId="77777777" w:rsidR="00894347" w:rsidRDefault="00EE746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PROSPETTIVA ONLUS</w:t>
            </w:r>
          </w:p>
        </w:tc>
        <w:tc>
          <w:tcPr>
            <w:tcW w:w="3267" w:type="dxa"/>
          </w:tcPr>
          <w:p w14:paraId="6C180E8B" w14:textId="77777777" w:rsidR="00894347" w:rsidRDefault="00EE746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VIA SAN LUCA EVANGELISTA 6</w:t>
            </w:r>
          </w:p>
        </w:tc>
        <w:tc>
          <w:tcPr>
            <w:tcW w:w="3250" w:type="dxa"/>
          </w:tcPr>
          <w:p w14:paraId="71F2D14C" w14:textId="77777777" w:rsidR="00894347" w:rsidRDefault="00EE746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CATANIA </w:t>
            </w:r>
          </w:p>
        </w:tc>
      </w:tr>
    </w:tbl>
    <w:p w14:paraId="3823C18F" w14:textId="77777777" w:rsidR="00894347" w:rsidRDefault="008943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4EC5543A" w14:textId="77777777" w:rsidR="00894347" w:rsidRDefault="00EE74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20"/>
          <w:szCs w:val="20"/>
        </w:rPr>
        <w:t>🡪</w:t>
      </w:r>
      <w:r>
        <w:rPr>
          <w:b/>
          <w:color w:val="000000"/>
          <w:sz w:val="20"/>
          <w:szCs w:val="20"/>
        </w:rPr>
        <w:t>Tipologia di minore opportunità</w:t>
      </w:r>
      <w:r>
        <w:rPr>
          <w:color w:val="000000"/>
          <w:sz w:val="20"/>
          <w:szCs w:val="20"/>
        </w:rPr>
        <w:t>: Difficoltà economiche</w:t>
      </w:r>
    </w:p>
    <w:p w14:paraId="033D27A4" w14:textId="77777777" w:rsidR="00894347" w:rsidRDefault="00EE74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20"/>
          <w:szCs w:val="20"/>
        </w:rPr>
        <w:t>🡪</w:t>
      </w:r>
      <w:r>
        <w:rPr>
          <w:b/>
          <w:color w:val="000000"/>
          <w:sz w:val="20"/>
          <w:szCs w:val="20"/>
        </w:rPr>
        <w:t>Documento che attesta l’appartenenza del giovane alla categoria individuata:</w:t>
      </w:r>
      <w:r>
        <w:rPr>
          <w:color w:val="000000"/>
          <w:sz w:val="20"/>
          <w:szCs w:val="20"/>
        </w:rPr>
        <w:t xml:space="preserve"> Autocertificazione ai sensi degli artt.46 e 47 del D.P.R. n. 445/2000</w:t>
      </w:r>
    </w:p>
    <w:p w14:paraId="5C2667A3" w14:textId="77777777" w:rsidR="00894347" w:rsidRDefault="00EE74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20"/>
          <w:szCs w:val="20"/>
        </w:rPr>
        <w:t>🡪</w:t>
      </w:r>
      <w:r>
        <w:rPr>
          <w:b/>
          <w:color w:val="000000"/>
          <w:sz w:val="20"/>
          <w:szCs w:val="20"/>
        </w:rPr>
        <w:t>Attività degli operatori volontari con minori opportunità</w:t>
      </w:r>
      <w:r>
        <w:rPr>
          <w:color w:val="000000"/>
          <w:sz w:val="20"/>
          <w:szCs w:val="20"/>
        </w:rPr>
        <w:t xml:space="preserve">: </w:t>
      </w:r>
    </w:p>
    <w:p w14:paraId="4862C6BC" w14:textId="77777777" w:rsidR="00894347" w:rsidRDefault="00EE74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Le strutture di accoglienza agiranno in favore </w:t>
      </w:r>
      <w:r>
        <w:rPr>
          <w:color w:val="000000"/>
          <w:sz w:val="20"/>
          <w:szCs w:val="20"/>
        </w:rPr>
        <w:t xml:space="preserve">dei giovani con minori opportunità (GMO) con un impegno specifico e professionalmente fondato. All’interno di una dinamica di gruppo impostata sui valori della solidarietà e attenzione alle singole necessità, si proporranno forme di sostegno materiale che </w:t>
      </w:r>
      <w:r>
        <w:rPr>
          <w:color w:val="000000"/>
          <w:sz w:val="20"/>
          <w:szCs w:val="20"/>
        </w:rPr>
        <w:t>potranno essere di aiuto nel fronteggiare le problematiche pratiche che dovessero insorgere.</w:t>
      </w:r>
    </w:p>
    <w:p w14:paraId="106F0812" w14:textId="77777777" w:rsidR="00894347" w:rsidRDefault="008943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0E9551FD" w14:textId="77777777" w:rsidR="00894347" w:rsidRDefault="00EE74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20"/>
          <w:szCs w:val="20"/>
        </w:rPr>
        <w:t>🡪</w:t>
      </w:r>
      <w:r>
        <w:rPr>
          <w:b/>
          <w:color w:val="000000"/>
          <w:sz w:val="20"/>
          <w:szCs w:val="20"/>
        </w:rPr>
        <w:t>Ulteriori risorse umane e strumentali e/o delle iniziative e/o delle misure di sostegno volte ad accompagnare gli operatori volontari con minori opportunità nel</w:t>
      </w:r>
      <w:r>
        <w:rPr>
          <w:b/>
          <w:color w:val="000000"/>
          <w:sz w:val="20"/>
          <w:szCs w:val="20"/>
        </w:rPr>
        <w:t>lo svolgimento delle attività progettuali:</w:t>
      </w:r>
    </w:p>
    <w:p w14:paraId="11771A46" w14:textId="77777777" w:rsidR="00894347" w:rsidRDefault="00EE74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L’utilizzo condiviso di mezzi di trasporto (eventualmente anche tramite passaggi nel trasporto tra sede e abitazione dei ragazzi).</w:t>
      </w:r>
    </w:p>
    <w:p w14:paraId="2137AE39" w14:textId="77777777" w:rsidR="00894347" w:rsidRDefault="00EE74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L’utilizzo condiviso delle strumentazioni della sede, in particolare dei computer,</w:t>
      </w:r>
      <w:r>
        <w:rPr>
          <w:color w:val="000000"/>
          <w:sz w:val="20"/>
          <w:szCs w:val="20"/>
        </w:rPr>
        <w:t xml:space="preserve"> dei telefoni di servizio, delle altre risorse. </w:t>
      </w:r>
    </w:p>
    <w:p w14:paraId="70237C6C" w14:textId="77777777" w:rsidR="00894347" w:rsidRDefault="00EE74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Eventuali occasioni di ospitalità, laddove (come è in molte sedi) vi fossero alloggi disponibili. Le attività di sostegno per i GMO saranno soprattutto sul piano relazionale e informale, e saranno costanteme</w:t>
      </w:r>
      <w:r>
        <w:rPr>
          <w:color w:val="000000"/>
          <w:sz w:val="20"/>
          <w:szCs w:val="20"/>
        </w:rPr>
        <w:t>nte monitorate e migliorate.</w:t>
      </w:r>
      <w:r>
        <w:rPr>
          <w:color w:val="000000"/>
          <w:sz w:val="20"/>
          <w:szCs w:val="20"/>
        </w:rPr>
        <w:br/>
        <w:t>Ogni volontario, in particolare i GMO, potrà avere uno spazio in cui confrontare queste acquisizioni con le proprie attese iniziali e con il proprio percorso di vita, passato e quello auspicato per il futuro.</w:t>
      </w:r>
    </w:p>
    <w:p w14:paraId="1C693286" w14:textId="77777777" w:rsidR="00894347" w:rsidRDefault="00EE74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Tramite momenti di</w:t>
      </w:r>
      <w:r>
        <w:rPr>
          <w:color w:val="000000"/>
          <w:sz w:val="20"/>
          <w:szCs w:val="20"/>
        </w:rPr>
        <w:t xml:space="preserve"> socializzazione informale, il GMO sarà inserito in una rete di persone (sia altri volontari, sia operatori, sia persone in relazione con la sede operativa), che siano predisposte e disposte ad offrire sostegno per eventuali necessità o difficoltà.</w:t>
      </w:r>
    </w:p>
    <w:p w14:paraId="0AC3F8C1" w14:textId="77777777" w:rsidR="00894347" w:rsidRDefault="008943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1B2AAED3" w14:textId="77777777" w:rsidR="00894347" w:rsidRDefault="00EE74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SVOLGIMENTO DI UN PERIODO DI TUTORAGGIO </w:t>
      </w:r>
    </w:p>
    <w:p w14:paraId="4F819CA8" w14:textId="77777777" w:rsidR="00894347" w:rsidRDefault="00EE74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20"/>
          <w:szCs w:val="20"/>
        </w:rPr>
        <w:t>🡪</w:t>
      </w:r>
      <w:r>
        <w:rPr>
          <w:b/>
          <w:color w:val="000000"/>
          <w:sz w:val="20"/>
          <w:szCs w:val="20"/>
        </w:rPr>
        <w:t>Durata del periodo di tutoraggio</w:t>
      </w:r>
      <w:r>
        <w:rPr>
          <w:color w:val="000000"/>
          <w:sz w:val="20"/>
          <w:szCs w:val="20"/>
        </w:rPr>
        <w:t>: 2 mesi</w:t>
      </w:r>
    </w:p>
    <w:p w14:paraId="3A63C83A" w14:textId="77777777" w:rsidR="00894347" w:rsidRDefault="00EE74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20"/>
          <w:szCs w:val="20"/>
        </w:rPr>
        <w:t>🡪</w:t>
      </w:r>
      <w:r>
        <w:rPr>
          <w:b/>
          <w:color w:val="000000"/>
          <w:sz w:val="20"/>
          <w:szCs w:val="20"/>
        </w:rPr>
        <w:t>Ore dedicate</w:t>
      </w:r>
      <w:r>
        <w:rPr>
          <w:color w:val="000000"/>
          <w:sz w:val="20"/>
          <w:szCs w:val="20"/>
        </w:rPr>
        <w:t>: 30</w:t>
      </w:r>
    </w:p>
    <w:p w14:paraId="210521D4" w14:textId="77777777" w:rsidR="00894347" w:rsidRDefault="00EE74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20"/>
          <w:szCs w:val="20"/>
        </w:rPr>
        <w:t>🡪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Tempi, modalità e articolazione oraria</w:t>
      </w:r>
      <w:r>
        <w:rPr>
          <w:color w:val="000000"/>
          <w:sz w:val="20"/>
          <w:szCs w:val="20"/>
        </w:rPr>
        <w:t>:</w:t>
      </w:r>
    </w:p>
    <w:p w14:paraId="5CEF83CD" w14:textId="77777777" w:rsidR="00894347" w:rsidRDefault="00EE74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</w:rPr>
        <w:t xml:space="preserve">Il percorso di tutoraggio, per complessive 30 ore a volontario, si svolgerà a partire dal </w:t>
      </w:r>
      <w:proofErr w:type="gramStart"/>
      <w:r>
        <w:rPr>
          <w:color w:val="000000"/>
          <w:sz w:val="20"/>
          <w:szCs w:val="20"/>
        </w:rPr>
        <w:t>6°</w:t>
      </w:r>
      <w:proofErr w:type="gramEnd"/>
      <w:r>
        <w:rPr>
          <w:color w:val="000000"/>
          <w:sz w:val="20"/>
          <w:szCs w:val="20"/>
        </w:rPr>
        <w:t xml:space="preserve"> mese di servizio </w:t>
      </w:r>
      <w:r>
        <w:rPr>
          <w:color w:val="000000"/>
          <w:sz w:val="20"/>
          <w:szCs w:val="20"/>
        </w:rPr>
        <w:t xml:space="preserve">e si articolerà in 6 incontri laboratoriali di gruppo e in 3 incontri individuali. Gli incontri verteranno sul tema delle competenze, la </w:t>
      </w:r>
      <w:r>
        <w:rPr>
          <w:color w:val="000000"/>
          <w:sz w:val="20"/>
          <w:szCs w:val="20"/>
        </w:rPr>
        <w:lastRenderedPageBreak/>
        <w:t>compilazione del curriculum, la conduzione di un colloquio di lavoro, le strategie di promozione, il portfolio digitale</w:t>
      </w:r>
      <w:r>
        <w:rPr>
          <w:color w:val="000000"/>
          <w:sz w:val="20"/>
          <w:szCs w:val="20"/>
        </w:rPr>
        <w:t>, il sistema dei servizi pubblici e privati per l’impiego.</w:t>
      </w:r>
      <w:r>
        <w:rPr>
          <w:color w:val="000000"/>
          <w:sz w:val="20"/>
          <w:szCs w:val="20"/>
          <w:highlight w:val="white"/>
        </w:rPr>
        <w:t xml:space="preserve"> </w:t>
      </w:r>
    </w:p>
    <w:sectPr w:rsidR="00894347">
      <w:pgSz w:w="11906" w:h="16838"/>
      <w:pgMar w:top="709" w:right="1418" w:bottom="1134" w:left="1134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A42FF"/>
    <w:multiLevelType w:val="multilevel"/>
    <w:tmpl w:val="F60A789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0B61CC1"/>
    <w:multiLevelType w:val="multilevel"/>
    <w:tmpl w:val="A258B1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683319520">
    <w:abstractNumId w:val="0"/>
  </w:num>
  <w:num w:numId="2" w16cid:durableId="631715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347"/>
    <w:rsid w:val="00894347"/>
    <w:rsid w:val="00EE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093A0"/>
  <w15:docId w15:val="{7C021D41-40CB-485A-AD95-B533DFA4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</w:pPr>
    <w:rPr>
      <w:b/>
      <w:color w:val="000000"/>
      <w:lang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120" w:after="120"/>
      <w:ind w:left="113"/>
      <w:jc w:val="center"/>
      <w:outlineLvl w:val="1"/>
    </w:pPr>
    <w:rPr>
      <w:rFonts w:ascii="Arial" w:hAnsi="Arial"/>
      <w:b/>
      <w:bCs/>
      <w:sz w:val="22"/>
      <w:szCs w:val="20"/>
      <w:lang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jc w:val="center"/>
      <w:outlineLvl w:val="4"/>
    </w:pPr>
    <w:rPr>
      <w:i/>
      <w:szCs w:val="20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pPr>
      <w:keepNext/>
      <w:ind w:left="708" w:firstLine="708"/>
      <w:outlineLvl w:val="6"/>
    </w:pPr>
    <w:rPr>
      <w:szCs w:val="20"/>
      <w:lang/>
    </w:rPr>
  </w:style>
  <w:style w:type="paragraph" w:styleId="Titolo8">
    <w:name w:val="heading 8"/>
    <w:basedOn w:val="Normale"/>
    <w:next w:val="Normale"/>
    <w:pPr>
      <w:keepNext/>
      <w:outlineLvl w:val="7"/>
    </w:pPr>
    <w:rPr>
      <w:b/>
      <w:bCs/>
      <w:color w:val="FFFFFF"/>
      <w:sz w:val="22"/>
      <w:szCs w:val="18"/>
    </w:rPr>
  </w:style>
  <w:style w:type="paragraph" w:styleId="Titolo9">
    <w:name w:val="heading 9"/>
    <w:basedOn w:val="Normale"/>
    <w:next w:val="Normale"/>
    <w:pPr>
      <w:keepNext/>
      <w:ind w:left="7788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color w:val="000000"/>
      <w:szCs w:val="20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rPr>
      <w:b/>
      <w:szCs w:val="20"/>
      <w:lang/>
    </w:rPr>
  </w:style>
  <w:style w:type="paragraph" w:styleId="Rientrocorpodeltesto">
    <w:name w:val="Body Text Indent"/>
    <w:basedOn w:val="Normale"/>
    <w:pPr>
      <w:ind w:firstLine="708"/>
      <w:jc w:val="both"/>
    </w:pPr>
    <w:rPr>
      <w:szCs w:val="20"/>
      <w:lang/>
    </w:rPr>
  </w:style>
  <w:style w:type="paragraph" w:styleId="Corpodeltesto2">
    <w:name w:val="Body Text 2"/>
    <w:basedOn w:val="Normale"/>
    <w:pPr>
      <w:jc w:val="both"/>
    </w:pPr>
    <w:rPr>
      <w:szCs w:val="20"/>
      <w:lang/>
    </w:rPr>
  </w:style>
  <w:style w:type="paragraph" w:styleId="Corpodeltesto3">
    <w:name w:val="Body Text 3"/>
    <w:basedOn w:val="Normale"/>
    <w:pPr>
      <w:jc w:val="both"/>
    </w:pPr>
    <w:rPr>
      <w:color w:val="000000"/>
    </w:rPr>
  </w:style>
  <w:style w:type="paragraph" w:styleId="Rientrocorpodeltesto2">
    <w:name w:val="Body Text Indent 2"/>
    <w:basedOn w:val="Normale"/>
    <w:pPr>
      <w:ind w:left="360"/>
      <w:jc w:val="both"/>
    </w:pPr>
    <w:rPr>
      <w:color w:val="0000FF"/>
      <w:lang/>
    </w:rPr>
  </w:style>
  <w:style w:type="paragraph" w:styleId="Testonotadichiusura">
    <w:name w:val="endnote text"/>
    <w:basedOn w:val="Normale"/>
    <w:pPr>
      <w:jc w:val="both"/>
    </w:pPr>
    <w:rPr>
      <w:rFonts w:ascii="Arial" w:hAnsi="Arial"/>
      <w:sz w:val="20"/>
      <w:szCs w:val="20"/>
    </w:rPr>
  </w:style>
  <w:style w:type="paragraph" w:customStyle="1" w:styleId="xl39">
    <w:name w:val="xl39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estonero">
    <w:name w:val="testonero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left="540"/>
      <w:jc w:val="both"/>
    </w:pPr>
    <w:rPr>
      <w:lang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e"/>
    <w:pP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2"/>
      <w:szCs w:val="12"/>
    </w:rPr>
  </w:style>
  <w:style w:type="paragraph" w:customStyle="1" w:styleId="xl25">
    <w:name w:val="xl25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18"/>
      <w:szCs w:val="18"/>
    </w:rPr>
  </w:style>
  <w:style w:type="paragraph" w:customStyle="1" w:styleId="xl26">
    <w:name w:val="xl26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7">
    <w:name w:val="xl27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8">
    <w:name w:val="xl28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9">
    <w:name w:val="xl29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30">
    <w:name w:val="xl30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Corpodeltesto2Carattere">
    <w:name w:val="Corpo del testo 2 Carattere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CorpodeltestoCarattere">
    <w:name w:val="Corpo del testo Carattere"/>
    <w:rPr>
      <w:b/>
      <w:w w:val="100"/>
      <w:position w:val="-1"/>
      <w:sz w:val="24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20"/>
      <w:contextualSpacing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character" w:customStyle="1" w:styleId="RientrocorpodeltestoCarattere">
    <w:name w:val="Rientro corpo del testo Carattere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Rientrocorpodeltesto2Carattere">
    <w:name w:val="Rientro corpo del testo 2 Carattere"/>
    <w:rPr>
      <w:color w:val="0000FF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Rientrocorpodeltesto3Carattere">
    <w:name w:val="Rientro corpo del testo 3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Arial" w:hAnsi="Arial" w:cs="Arial"/>
      <w:b/>
      <w:bCs/>
      <w:w w:val="100"/>
      <w:position w:val="-1"/>
      <w:sz w:val="22"/>
      <w:effect w:val="none"/>
      <w:vertAlign w:val="baseline"/>
      <w:cs w:val="0"/>
      <w:em w:val="none"/>
    </w:rPr>
  </w:style>
  <w:style w:type="paragraph" w:customStyle="1" w:styleId="provvestremo">
    <w:name w:val="provv_estremo"/>
    <w:basedOn w:val="Normale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Pr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Titolo7Carattere">
    <w:name w:val="Titolo 7 Carattere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1Carattere">
    <w:name w:val="Titolo 1 Carattere"/>
    <w:rPr>
      <w:b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default">
    <w:name w:val="Di default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Arial Unicode MS" w:hAnsi="Helvetica" w:cs="Arial Unicode MS"/>
      <w:color w:val="000000"/>
      <w:position w:val="-1"/>
      <w:sz w:val="22"/>
      <w:szCs w:val="22"/>
      <w:bdr w:val="nil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nc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YGLCbDVXDNiRHYlYqwmsHnsRwQ==">AMUW2mXh33YCQEGYvOcgzQhBPo7RAYzQFDhFwWFeReVAjoc2YBnSwwHfssacMhZ8g3pAEFuYxZF5G810RLx9p4PU9FzjAvKkcV5Oc8+vx5ysRSfSnuUcoho=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2941</Words>
  <Characters>16766</Characters>
  <Application>Microsoft Office Word</Application>
  <DocSecurity>0</DocSecurity>
  <Lines>139</Lines>
  <Paragraphs>39</Paragraphs>
  <ScaleCrop>false</ScaleCrop>
  <Company/>
  <LinksUpToDate>false</LinksUpToDate>
  <CharactersWithSpaces>19668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rdecicco</dc:creator>
  <cp:lastModifiedBy>centro padrenostro</cp:lastModifiedBy>
  <cp:revision>2</cp:revision>
  <dcterms:created xsi:type="dcterms:W3CDTF">2022-12-27T11:50:00Z</dcterms:created>
  <dcterms:modified xsi:type="dcterms:W3CDTF">2022-12-27T11:50:00Z</dcterms:modified>
</cp:coreProperties>
</file>